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610A3" w14:textId="77777777" w:rsidR="00FC1A7A" w:rsidRDefault="009060C9">
      <w:pPr>
        <w:pStyle w:val="1"/>
        <w:spacing w:line="194" w:lineRule="auto"/>
        <w:ind w:firstLine="0"/>
        <w:jc w:val="both"/>
      </w:pPr>
      <w:r>
        <w:t>Комментарий</w:t>
      </w:r>
    </w:p>
    <w:p w14:paraId="5BE920CB" w14:textId="37CC7C4A" w:rsidR="00FC1A7A" w:rsidRDefault="009060C9">
      <w:pPr>
        <w:pStyle w:val="1"/>
        <w:spacing w:after="480" w:line="194" w:lineRule="auto"/>
        <w:ind w:firstLine="0"/>
        <w:jc w:val="both"/>
      </w:pPr>
      <w:r>
        <w:t>к постановлению Министерства по налогам и сборам Республики Беларусь и Г</w:t>
      </w:r>
      <w:r>
        <w:t xml:space="preserve">осударственного комитета по стандартизации Республики Беларусь от 14 октября 2022 г. № 29/99 «О требованиях к кассовым суммирующим аппаратам, в том числе </w:t>
      </w:r>
      <w:r>
        <w:t>совмещенным с таксометрами, билетопечатающим машинам»</w:t>
      </w:r>
    </w:p>
    <w:p w14:paraId="199BF4F3" w14:textId="77777777" w:rsidR="00FC1A7A" w:rsidRDefault="009060C9">
      <w:pPr>
        <w:pStyle w:val="1"/>
        <w:ind w:firstLine="720"/>
        <w:jc w:val="both"/>
      </w:pPr>
      <w:r>
        <w:t>Постановление Министерства по налогам и сборам Республики Беларусь и Государственного комитета по стандартизации Республики Беларусь от 14 октября 2022 г. № 29/99 «О требованиях к кассовым суммирующим а</w:t>
      </w:r>
      <w:r>
        <w:t>ппаратам, в том числе совмещенным с таксометрами, билетопечатающим машинам» (далее - постановление № 29/99) принято во исполнение пункта 2 постановления Совета Министров Республики Беларусь и Национального банка Республики Беларусь от 3 марта 2022 г. № 114</w:t>
      </w:r>
      <w:r>
        <w:t>/6 «Об изменении постановления Совета Министров Республики Беларусь и Национального банка Республики Беларусь от 6 июля 2011 г. № 924/16» в целях закрепления на уровне нормативного правового акта требований к функциональным характеристикам и конструкции ка</w:t>
      </w:r>
      <w:r>
        <w:t>ссовых суммирующих аппаратов, в том числе совмещенных с таксометрами, билетопечатающих машин (далее - требования, кассовые аппараты).</w:t>
      </w:r>
    </w:p>
    <w:p w14:paraId="0F10C2A8" w14:textId="77777777" w:rsidR="00FC1A7A" w:rsidRDefault="009060C9">
      <w:pPr>
        <w:pStyle w:val="1"/>
        <w:numPr>
          <w:ilvl w:val="0"/>
          <w:numId w:val="1"/>
        </w:numPr>
        <w:tabs>
          <w:tab w:val="left" w:pos="1094"/>
        </w:tabs>
        <w:ind w:firstLine="720"/>
        <w:jc w:val="both"/>
      </w:pPr>
      <w:bookmarkStart w:id="0" w:name="bookmark0"/>
      <w:bookmarkEnd w:id="0"/>
      <w:r>
        <w:t>Постановлением № 29/99 определяется понятийный аппарат для целей требований: «автономный кассовый аппарат», «системный кас</w:t>
      </w:r>
      <w:r>
        <w:t xml:space="preserve">совый аппарат», «фискальный регистратор», «POS-система», «POS-терминал», «билетопечатающая машина», «касса самообслуживания», «уникальный идентификатор», «база товаров (работ, услуг)» и другие, что позволяет идентифицировать соответствующие требования под </w:t>
      </w:r>
      <w:r>
        <w:t>конкретный вид кассового аппарата, обеспечить понятийное восприятие соответствующей нормы постановления № 29/99, а также сохранить преемственность терминологии в отношении кассовых аппаратов.</w:t>
      </w:r>
    </w:p>
    <w:p w14:paraId="1108593D" w14:textId="77777777" w:rsidR="00FC1A7A" w:rsidRDefault="009060C9">
      <w:pPr>
        <w:pStyle w:val="1"/>
        <w:numPr>
          <w:ilvl w:val="0"/>
          <w:numId w:val="1"/>
        </w:numPr>
        <w:tabs>
          <w:tab w:val="left" w:pos="1094"/>
        </w:tabs>
        <w:ind w:firstLine="720"/>
        <w:jc w:val="both"/>
      </w:pPr>
      <w:bookmarkStart w:id="1" w:name="bookmark1"/>
      <w:bookmarkEnd w:id="1"/>
      <w:r>
        <w:t>В постановление № 29/99 из государственного стандарта Республики</w:t>
      </w:r>
      <w:r>
        <w:t xml:space="preserve"> Беларусь «Аппараты кассовые суммирующие и специальные компьютерные системы» СТБ 1364.0-2015 и серии государственных стандартов Республики Беларусь СТБ 1364 (далее - СТБ) перенесены и актуализированы основные требования, в том числе к конструкции кассового</w:t>
      </w:r>
      <w:r>
        <w:t xml:space="preserve"> аппарата, функциональные требования, включая дополнительные в связи с использованием кассовых аппаратов в разных сферах применения.</w:t>
      </w:r>
    </w:p>
    <w:p w14:paraId="0854211A" w14:textId="77777777" w:rsidR="00FC1A7A" w:rsidRDefault="009060C9">
      <w:pPr>
        <w:pStyle w:val="1"/>
        <w:numPr>
          <w:ilvl w:val="0"/>
          <w:numId w:val="1"/>
        </w:numPr>
        <w:tabs>
          <w:tab w:val="left" w:pos="1094"/>
        </w:tabs>
        <w:ind w:firstLine="720"/>
        <w:jc w:val="both"/>
      </w:pPr>
      <w:bookmarkStart w:id="2" w:name="bookmark2"/>
      <w:bookmarkEnd w:id="2"/>
      <w:r>
        <w:t>Постановление № 29/99 содержит ряд новых требований, которые ранее не были определены в СТБ.</w:t>
      </w:r>
    </w:p>
    <w:p w14:paraId="1E868ECE" w14:textId="77777777" w:rsidR="00FC1A7A" w:rsidRDefault="009060C9">
      <w:pPr>
        <w:pStyle w:val="1"/>
        <w:ind w:firstLine="720"/>
        <w:jc w:val="both"/>
      </w:pPr>
      <w:r>
        <w:t>Так, к кассовым аппаратам, опр</w:t>
      </w:r>
      <w:r>
        <w:t>еделены следующие новые требования, носящие общий характер. Кассовые аппараты должны:</w:t>
      </w:r>
    </w:p>
    <w:p w14:paraId="2B213CB2" w14:textId="77777777" w:rsidR="00FC1A7A" w:rsidRDefault="009060C9">
      <w:pPr>
        <w:pStyle w:val="1"/>
        <w:ind w:firstLine="720"/>
        <w:jc w:val="both"/>
      </w:pPr>
      <w:r>
        <w:t xml:space="preserve">исключать возможность несанкционированного доступа к данным о денежных оборотах в целях их изменения (уничтожения), а также не иметь </w:t>
      </w:r>
      <w:proofErr w:type="spellStart"/>
      <w:r>
        <w:lastRenderedPageBreak/>
        <w:t>недекларируемых</w:t>
      </w:r>
      <w:proofErr w:type="spellEnd"/>
      <w:r>
        <w:t xml:space="preserve"> режимов работы (ранее</w:t>
      </w:r>
      <w:r>
        <w:t xml:space="preserve"> в СТБ данная норма упоминалась косвенно в отношении требований к блоку управления кассового аппарата и только в части обеспечения защиты информации от несанкционированного доступа);</w:t>
      </w:r>
    </w:p>
    <w:p w14:paraId="3522338F" w14:textId="77777777" w:rsidR="00FC1A7A" w:rsidRDefault="009060C9">
      <w:pPr>
        <w:pStyle w:val="1"/>
        <w:ind w:firstLine="720"/>
        <w:jc w:val="both"/>
      </w:pPr>
      <w:r>
        <w:t xml:space="preserve">обеспечивать формирование для выдачи покупателю (потребителю) платежного </w:t>
      </w:r>
      <w:r>
        <w:t>документа в электронном виде без вывода его на печать одним из способов выдачи такого платежного документа покупателю (потребителю): на электронную почту покупателя; в личный кабинет покупателя при наличии действующей карты лояльности; на приложение- мессе</w:t>
      </w:r>
      <w:r>
        <w:t>нджер (указанная норма прописана в целях реализации пункта 15</w:t>
      </w:r>
      <w:r>
        <w:rPr>
          <w:vertAlign w:val="superscript"/>
        </w:rPr>
        <w:t xml:space="preserve">1 </w:t>
      </w:r>
      <w: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</w:t>
      </w:r>
      <w:r>
        <w:t xml:space="preserve"> от 6 июля 2011 г. № 924/16 (далее - постановление № 924/16, Положение № 924/16)). Аналогичный подход определен и в отношении документа, подтверждающего возврат товара;</w:t>
      </w:r>
    </w:p>
    <w:p w14:paraId="7C20C5F1" w14:textId="77777777" w:rsidR="00FC1A7A" w:rsidRDefault="009060C9">
      <w:pPr>
        <w:pStyle w:val="1"/>
        <w:ind w:firstLine="720"/>
        <w:jc w:val="both"/>
      </w:pPr>
      <w:r>
        <w:t>проводить регистрацию аннулирования только последнего платежного документа после печати</w:t>
      </w:r>
      <w:r>
        <w:t xml:space="preserve"> (выдачи в электронного виде) этого платежного документа, что согласуется с нормами части пятой пункта 4 Положения № 924/16, которой предусмотрено, что в случае ошибок, допущенных кассиром при вводе суммы денежных средств в сформированном платежном докумен</w:t>
      </w:r>
      <w:r>
        <w:t>те, использование (погашение) в течение рабочего дня (смены) этого платежного документа запрещается;</w:t>
      </w:r>
    </w:p>
    <w:p w14:paraId="1056BC51" w14:textId="77777777" w:rsidR="00FC1A7A" w:rsidRDefault="009060C9">
      <w:pPr>
        <w:pStyle w:val="1"/>
        <w:ind w:firstLine="720"/>
        <w:jc w:val="both"/>
      </w:pPr>
      <w:r>
        <w:t>формировать уникальный идентификатор в виде QR-кода и символьного представления (в кодировке ASCII) (также определены требования к высоте и ширине распечат</w:t>
      </w:r>
      <w:r>
        <w:t>ываемого уникального идентификатора, отображаемого в виде QR-кода);</w:t>
      </w:r>
    </w:p>
    <w:p w14:paraId="6A833C60" w14:textId="77777777" w:rsidR="00FC1A7A" w:rsidRDefault="009060C9">
      <w:pPr>
        <w:pStyle w:val="1"/>
        <w:ind w:firstLine="720"/>
        <w:jc w:val="both"/>
      </w:pPr>
      <w:r>
        <w:t>обеспечивать возможность отказа от вывода на печать таких кассовых документов, как документы, подтверждающие совершение кассовых операций регистрации аннулирования платежного документа, вн</w:t>
      </w:r>
      <w:r>
        <w:t>есения и изъятия наличных денежных средств (указанная норма предусмотрена в постановлении № 29/99 по инициативе бизнес-сообщества в целях экономии чековой ленты);</w:t>
      </w:r>
    </w:p>
    <w:p w14:paraId="47B01D9E" w14:textId="77777777" w:rsidR="00FC1A7A" w:rsidRDefault="009060C9">
      <w:pPr>
        <w:pStyle w:val="1"/>
        <w:ind w:firstLine="720"/>
        <w:jc w:val="both"/>
      </w:pPr>
      <w:r>
        <w:t>обеспечивать общую сквозную нумерацию для платежных документов, документов по результатам вып</w:t>
      </w:r>
      <w:r>
        <w:t>олнения кассовых операций регистрации факта возврата средств платежа, внесения и изъятия наличных денежных средств, изъятия для выдачи наличных денежных средств держателям банковских платежных карточек, аннулирования платежного документа. При этом вводится</w:t>
      </w:r>
      <w:r>
        <w:t xml:space="preserve"> запрет присваивать при сквозной нумерации сквозной порядковый номер другим документам (карт-чекам, иным документам);</w:t>
      </w:r>
    </w:p>
    <w:p w14:paraId="4A6D2212" w14:textId="77777777" w:rsidR="00FC1A7A" w:rsidRDefault="009060C9">
      <w:pPr>
        <w:pStyle w:val="1"/>
        <w:ind w:firstLine="740"/>
        <w:jc w:val="both"/>
      </w:pPr>
      <w:r>
        <w:t>обеспечивать отдельную порядковую нумерацию Z-отчетов;</w:t>
      </w:r>
    </w:p>
    <w:p w14:paraId="57C0E70D" w14:textId="77777777" w:rsidR="00FC1A7A" w:rsidRDefault="009060C9">
      <w:pPr>
        <w:pStyle w:val="1"/>
        <w:ind w:firstLine="740"/>
        <w:jc w:val="both"/>
      </w:pPr>
      <w:r>
        <w:lastRenderedPageBreak/>
        <w:t>обеспечивать блокировку кассового аппарата при установке средства контроля налоговы</w:t>
      </w:r>
      <w:r>
        <w:t>х органов (далее - СКНО) в статус «СКНО заблокировано» (такая блокировка будет применяться в случае наличия платежных документов, иных кассовых документов, поступивших от кассового аппарата с нарушением их структуры либо реквизитов и непрошедших форматно-л</w:t>
      </w:r>
      <w:r>
        <w:t>огический контроль при поступлении в систему контроля кассового оборудования (далее - СККО);</w:t>
      </w:r>
    </w:p>
    <w:p w14:paraId="1E6CC7C0" w14:textId="77777777" w:rsidR="00FC1A7A" w:rsidRDefault="009060C9">
      <w:pPr>
        <w:pStyle w:val="1"/>
        <w:ind w:firstLine="740"/>
        <w:jc w:val="both"/>
      </w:pPr>
      <w:r>
        <w:t>формировать в платежном документе, оформляемом кассовым аппаратом по результатам выполнения кассовой операции продажи в магазине беспошлинной торговли также сведен</w:t>
      </w:r>
      <w:r>
        <w:t>ия и информацию, определенные подпунктом 2.20 пункта 2 Указа Президента Республики Беларусь от 22 апреля 2014 г. № 175 «О магазинах беспошлинной торговли»;</w:t>
      </w:r>
    </w:p>
    <w:p w14:paraId="4E37C50D" w14:textId="77777777" w:rsidR="00FC1A7A" w:rsidRDefault="009060C9">
      <w:pPr>
        <w:pStyle w:val="1"/>
        <w:ind w:firstLine="740"/>
        <w:jc w:val="both"/>
      </w:pPr>
      <w:r>
        <w:t>выделять суммы налога на добавленную стоимость (далее - НДС) по каждой единице товара с учетом приме</w:t>
      </w:r>
      <w:r>
        <w:t>ненных скидок (надбавок). Указанное требование предложено в том числе бизнес-сообществом для удобства и однозначности понимания о формировании в платежном документе информации о выделении ставки и суммы НДС для применения кассовых аппаратов для целей возвр</w:t>
      </w:r>
      <w:r>
        <w:t>ата НДС.</w:t>
      </w:r>
    </w:p>
    <w:p w14:paraId="4C8F5552" w14:textId="77777777" w:rsidR="00FC1A7A" w:rsidRDefault="009060C9">
      <w:pPr>
        <w:pStyle w:val="1"/>
        <w:ind w:firstLine="740"/>
        <w:jc w:val="both"/>
      </w:pPr>
      <w:r>
        <w:t>Также постановлением № 29/99 предусмотрены дополнительные функциональные требования к кассам самообслуживания.</w:t>
      </w:r>
    </w:p>
    <w:p w14:paraId="31C8FD36" w14:textId="77777777" w:rsidR="00FC1A7A" w:rsidRDefault="009060C9">
      <w:pPr>
        <w:pStyle w:val="1"/>
        <w:numPr>
          <w:ilvl w:val="0"/>
          <w:numId w:val="1"/>
        </w:numPr>
        <w:tabs>
          <w:tab w:val="left" w:pos="1052"/>
        </w:tabs>
        <w:ind w:firstLine="740"/>
        <w:jc w:val="both"/>
      </w:pPr>
      <w:bookmarkStart w:id="3" w:name="bookmark3"/>
      <w:bookmarkEnd w:id="3"/>
      <w:r>
        <w:t>Постановлением № 29/99 установлена единая структурированная форма платежного документа, в которой определены состав обязательной информа</w:t>
      </w:r>
      <w:r>
        <w:t>ции и последовательность ее формирования (приложение 1 к Положению о требованиях к кассовым суммирующим аппаратам, в том числе совмещенным с таксометрами, билетопечатающим машинам, утвержденному постановлением № 29/99 (далее - Положение)).</w:t>
      </w:r>
    </w:p>
    <w:p w14:paraId="06A6D2F8" w14:textId="77777777" w:rsidR="00FC1A7A" w:rsidRDefault="009060C9">
      <w:pPr>
        <w:pStyle w:val="1"/>
        <w:ind w:firstLine="740"/>
        <w:jc w:val="both"/>
      </w:pPr>
      <w:r>
        <w:t>Такой подход поз</w:t>
      </w:r>
      <w:r>
        <w:t xml:space="preserve">волит контролирующим органам и покупателям (потребителям) визуально определить в любом платежном документе, формируемом любой моделью кассового аппарата, соответствующий реквизит (информацию) платежного документа по месту его (ее) расположения в платежном </w:t>
      </w:r>
      <w:r>
        <w:t>документе.</w:t>
      </w:r>
    </w:p>
    <w:p w14:paraId="48F8191C" w14:textId="77777777" w:rsidR="00FC1A7A" w:rsidRDefault="009060C9">
      <w:pPr>
        <w:pStyle w:val="1"/>
        <w:numPr>
          <w:ilvl w:val="0"/>
          <w:numId w:val="1"/>
        </w:numPr>
        <w:tabs>
          <w:tab w:val="left" w:pos="1047"/>
        </w:tabs>
        <w:ind w:firstLine="740"/>
        <w:jc w:val="both"/>
      </w:pPr>
      <w:bookmarkStart w:id="4" w:name="bookmark4"/>
      <w:bookmarkEnd w:id="4"/>
      <w:r>
        <w:t>Постановлением № 29/99 вводится требование, согласно которому кассовые аппараты должны обеспечивать выполнение кассовой операции регистрации приема платежей в адрес третьих лиц платежными агрегаторами в рамках Закона Республики Беларусь от 19 апреля 2022 г</w:t>
      </w:r>
      <w:r>
        <w:t>. № 164-З «О платежных системах и платежных услугах» (далее - Закон № 164-З). В этих целях в постановлении предусмотрен термин «платежный агрегатор», который используется в значении, определенном подпунктом 1.22 пункта 1 статьи 2 Закона № 164-З.</w:t>
      </w:r>
    </w:p>
    <w:p w14:paraId="70E816AB" w14:textId="77777777" w:rsidR="00FC1A7A" w:rsidRDefault="009060C9">
      <w:pPr>
        <w:pStyle w:val="1"/>
        <w:ind w:firstLine="720"/>
        <w:jc w:val="both"/>
      </w:pPr>
      <w:r>
        <w:t>В приложен</w:t>
      </w:r>
      <w:r>
        <w:t xml:space="preserve">ии 1 к Положению предусмотрена (раздел VIII) дополнительная информация, содержащаяся в платежном документе, </w:t>
      </w:r>
      <w:r>
        <w:lastRenderedPageBreak/>
        <w:t>предоставляемом покупателю (потребителю) в распечатанном или электронном виде, для торговых объектов, являющихся платежными агрегаторами, при приеме</w:t>
      </w:r>
      <w:r>
        <w:t xml:space="preserve"> платежей в адрес третьих лиц (печатается учетный номер плательщика (УНП) третьего лица, в адрес которого принимаются платежи платежным агрегатором).</w:t>
      </w:r>
    </w:p>
    <w:p w14:paraId="12BA939D" w14:textId="77777777" w:rsidR="00FC1A7A" w:rsidRDefault="009060C9">
      <w:pPr>
        <w:pStyle w:val="1"/>
        <w:ind w:firstLine="720"/>
        <w:jc w:val="both"/>
      </w:pPr>
      <w:r>
        <w:t>Кроме того, в целях обеспечения норм пункта 2 статьи 20 Закона № 164-З постановлением № 29/99 вводится тре</w:t>
      </w:r>
      <w:r>
        <w:t>бование о том, что кассовые аппараты должны обеспечивать выполнение кассовой операции регистрации изъятия для выдачи наличных денежных средств держателям банковских платежных карточек, а также требование по формированию на кассовом аппарате, обеспечивающем</w:t>
      </w:r>
      <w:r>
        <w:t xml:space="preserve"> данное требование, документа, подтверждающего совершение кассовой операции регистрации изъятия для выдачи наличных денежных средств держателям банковских платежных карточек с определением обязательной информации, которую должен содержать такой документ. У</w:t>
      </w:r>
      <w:r>
        <w:t>казанное требование позволяет реализовать нормы пункта 5</w:t>
      </w:r>
      <w:r>
        <w:rPr>
          <w:vertAlign w:val="superscript"/>
        </w:rPr>
        <w:t>1</w:t>
      </w:r>
      <w:r>
        <w:t xml:space="preserve"> Положения № 924/16 (в редакции постановления Совета Министров Республики Беларусь и Национального банка Республики Беларусь от 7 декабря 2022 г. № 841/27 «Об изменении постановлений Совета Министров</w:t>
      </w:r>
      <w:r>
        <w:t xml:space="preserve"> Республики Беларусь и Национального банка Республики Беларусь от 6 июля 2011 г. № 924/16 и от 3 марта 2022 г. № 114/6» (далее - постановление № 841/27)), предусматривающие, что выдача наличных денежных средств в организациях торговли (сервиса) в рамках за</w:t>
      </w:r>
      <w:r>
        <w:t>ключенных договоров с платежными агрегаторами может осуществляться путем выполнения операции регистрации изъятия суммы наличных денежных средств из ящика для денег, соответствующей сумме, подлежащей выдаче держателю банковской платежной карточки, иного пла</w:t>
      </w:r>
      <w:r>
        <w:t>тежного инструмента, с выдачей документа, подтверждающего совершение такой операции.</w:t>
      </w:r>
    </w:p>
    <w:p w14:paraId="1ABD9A52" w14:textId="77777777" w:rsidR="00FC1A7A" w:rsidRDefault="009060C9">
      <w:pPr>
        <w:pStyle w:val="1"/>
        <w:ind w:firstLine="720"/>
        <w:jc w:val="both"/>
      </w:pPr>
      <w:r>
        <w:t>Соответствующие требования постановлением № 29/99 введены в отношении отражения информации о сумме и количестве приемов платежей в адрес третьих лиц, сумме и количестве из</w:t>
      </w:r>
      <w:r>
        <w:t>ъятий денег для выдачи держателям банковских платежных карточек в формируемых кассовым аппаратом сменном отчете без гашения (Х-отчете), суточном (сменном) отчете (Z-отчете) с передачей данных в СКНО.</w:t>
      </w:r>
    </w:p>
    <w:p w14:paraId="76D5FCAD" w14:textId="77777777" w:rsidR="00FC1A7A" w:rsidRDefault="009060C9">
      <w:pPr>
        <w:pStyle w:val="1"/>
        <w:numPr>
          <w:ilvl w:val="0"/>
          <w:numId w:val="1"/>
        </w:numPr>
        <w:tabs>
          <w:tab w:val="left" w:pos="1440"/>
          <w:tab w:val="left" w:pos="4867"/>
        </w:tabs>
        <w:ind w:firstLine="720"/>
        <w:jc w:val="both"/>
      </w:pPr>
      <w:bookmarkStart w:id="5" w:name="bookmark5"/>
      <w:bookmarkEnd w:id="5"/>
      <w:r>
        <w:t>Постановлением №</w:t>
      </w:r>
      <w:r>
        <w:tab/>
        <w:t>29/99 введены дополнительные</w:t>
      </w:r>
    </w:p>
    <w:p w14:paraId="0A4B5E3B" w14:textId="77777777" w:rsidR="00FC1A7A" w:rsidRDefault="009060C9">
      <w:pPr>
        <w:pStyle w:val="1"/>
        <w:ind w:firstLine="0"/>
        <w:jc w:val="both"/>
      </w:pPr>
      <w:r>
        <w:t>функционал</w:t>
      </w:r>
      <w:r>
        <w:t>ьные требования к кассовым аппаратам, применяемым при реализации товаров, подлежащих маркировке унифицированными контрольными знаками или средствами идентификации.</w:t>
      </w:r>
    </w:p>
    <w:p w14:paraId="086AA7C6" w14:textId="77777777" w:rsidR="00FC1A7A" w:rsidRDefault="009060C9">
      <w:pPr>
        <w:pStyle w:val="1"/>
        <w:ind w:firstLine="720"/>
        <w:jc w:val="both"/>
      </w:pPr>
      <w:r>
        <w:t>Так, кассовые аппараты должны обеспечивать:</w:t>
      </w:r>
    </w:p>
    <w:p w14:paraId="7EB2FC17" w14:textId="77777777" w:rsidR="00FC1A7A" w:rsidRDefault="009060C9">
      <w:pPr>
        <w:pStyle w:val="1"/>
        <w:ind w:firstLine="720"/>
        <w:jc w:val="both"/>
      </w:pPr>
      <w:r>
        <w:t>при реализации и при возврате маркированного тов</w:t>
      </w:r>
      <w:r>
        <w:t>ара:</w:t>
      </w:r>
    </w:p>
    <w:p w14:paraId="337E0228" w14:textId="77777777" w:rsidR="00FC1A7A" w:rsidRDefault="009060C9">
      <w:pPr>
        <w:pStyle w:val="1"/>
        <w:ind w:firstLine="720"/>
        <w:jc w:val="both"/>
      </w:pPr>
      <w:r>
        <w:t xml:space="preserve">считывание кода маркировки и уникальной последовательности символов в машиночитаемой форме, представленной в виде двумерного </w:t>
      </w:r>
      <w:r>
        <w:lastRenderedPageBreak/>
        <w:t xml:space="preserve">штрихового кода </w:t>
      </w:r>
      <w:proofErr w:type="spellStart"/>
      <w:r>
        <w:t>DataMatrix</w:t>
      </w:r>
      <w:proofErr w:type="spellEnd"/>
      <w:r>
        <w:t>, включающей в себя переменную информацию, в том числе серию и номер унифицированного контрольного з</w:t>
      </w:r>
      <w:r>
        <w:t>нака, нанесенных на каждую единицу товара, подлежащего маркировке;</w:t>
      </w:r>
    </w:p>
    <w:p w14:paraId="04257F7E" w14:textId="77777777" w:rsidR="00FC1A7A" w:rsidRDefault="009060C9">
      <w:pPr>
        <w:pStyle w:val="1"/>
        <w:ind w:firstLine="720"/>
        <w:jc w:val="both"/>
      </w:pPr>
      <w:r>
        <w:t>считывание (ввод) GTIN каждой единицы реализованного (возвращаемого) маркированного товара;</w:t>
      </w:r>
    </w:p>
    <w:p w14:paraId="2D98B8C6" w14:textId="77777777" w:rsidR="00FC1A7A" w:rsidRDefault="009060C9">
      <w:pPr>
        <w:pStyle w:val="1"/>
        <w:ind w:firstLine="720"/>
        <w:jc w:val="both"/>
      </w:pPr>
      <w:r>
        <w:t xml:space="preserve">выполнение на кассовом суммирующем аппарате </w:t>
      </w:r>
      <w:proofErr w:type="gramStart"/>
      <w:r>
        <w:t>кассовой операции регистрации продажи (возврата) кажд</w:t>
      </w:r>
      <w:r>
        <w:t>ой единицы</w:t>
      </w:r>
      <w:proofErr w:type="gramEnd"/>
      <w:r>
        <w:t xml:space="preserve"> маркированного средством идентификации товара;</w:t>
      </w:r>
    </w:p>
    <w:p w14:paraId="56F56004" w14:textId="77777777" w:rsidR="00FC1A7A" w:rsidRDefault="009060C9">
      <w:pPr>
        <w:pStyle w:val="1"/>
        <w:ind w:firstLine="720"/>
        <w:jc w:val="both"/>
      </w:pPr>
      <w:r>
        <w:t>формирование информации о реализации (возврате) маркированного средством идентификации товара в Z-отчете;</w:t>
      </w:r>
    </w:p>
    <w:p w14:paraId="1E715C5C" w14:textId="77777777" w:rsidR="00FC1A7A" w:rsidRDefault="009060C9">
      <w:pPr>
        <w:pStyle w:val="1"/>
        <w:ind w:firstLine="720"/>
        <w:jc w:val="both"/>
      </w:pPr>
      <w:r>
        <w:t xml:space="preserve">выполнение кассовой операции регистрации аннулирования и формирование информации о кассовой </w:t>
      </w:r>
      <w:r>
        <w:t>операции регистрации аннулирования в Z-отчете;</w:t>
      </w:r>
    </w:p>
    <w:p w14:paraId="7DF10644" w14:textId="77777777" w:rsidR="00FC1A7A" w:rsidRDefault="009060C9">
      <w:pPr>
        <w:pStyle w:val="1"/>
        <w:ind w:firstLine="720"/>
        <w:jc w:val="both"/>
      </w:pPr>
      <w:r>
        <w:t>дифференцированный учет данных о реализуемых товарах, предусмотренный пунктом 10 Положения № 924/16;</w:t>
      </w:r>
    </w:p>
    <w:p w14:paraId="228A5E88" w14:textId="77777777" w:rsidR="00FC1A7A" w:rsidRDefault="009060C9">
      <w:pPr>
        <w:pStyle w:val="1"/>
        <w:ind w:firstLine="720"/>
        <w:jc w:val="both"/>
      </w:pPr>
      <w:r>
        <w:t xml:space="preserve">передачу в СКНО детализированной информации о товарах, подлежащих маркировке, при их реализации в розничной </w:t>
      </w:r>
      <w:r>
        <w:t>торговле с использованием кассового аппарата в соответствии с требованиями к обмену данными кассовых аппаратов с СКНО, установленными в главе 12 Положения.</w:t>
      </w:r>
    </w:p>
    <w:p w14:paraId="31595CC0" w14:textId="77777777" w:rsidR="00FC1A7A" w:rsidRDefault="009060C9">
      <w:pPr>
        <w:pStyle w:val="1"/>
        <w:ind w:firstLine="720"/>
        <w:jc w:val="both"/>
      </w:pPr>
      <w:r>
        <w:t>Постановлением № 29/99 предусмотрено, что платежный документ, формируемый кассовым аппаратом на бума</w:t>
      </w:r>
      <w:r>
        <w:t>жном носителе и (или) в электронном виде по результатам выполнения кассовой операции продажи маркированного товара, должен содержать также в последовательности, определенной в Приложении 1 к Положению, признак маркированного товара символ «М».</w:t>
      </w:r>
    </w:p>
    <w:p w14:paraId="4C480751" w14:textId="77777777" w:rsidR="00FC1A7A" w:rsidRDefault="009060C9">
      <w:pPr>
        <w:pStyle w:val="1"/>
        <w:numPr>
          <w:ilvl w:val="0"/>
          <w:numId w:val="1"/>
        </w:numPr>
        <w:tabs>
          <w:tab w:val="left" w:pos="1378"/>
          <w:tab w:val="left" w:pos="5098"/>
        </w:tabs>
        <w:ind w:firstLine="720"/>
        <w:jc w:val="both"/>
      </w:pPr>
      <w:bookmarkStart w:id="6" w:name="bookmark6"/>
      <w:bookmarkEnd w:id="6"/>
      <w:r>
        <w:t>В постановле</w:t>
      </w:r>
      <w:r>
        <w:t>нии №</w:t>
      </w:r>
      <w:r>
        <w:tab/>
        <w:t>29/99 содержится глава 12,</w:t>
      </w:r>
    </w:p>
    <w:p w14:paraId="024D98E7" w14:textId="77777777" w:rsidR="00FC1A7A" w:rsidRDefault="009060C9">
      <w:pPr>
        <w:pStyle w:val="1"/>
        <w:ind w:firstLine="0"/>
        <w:jc w:val="both"/>
      </w:pPr>
      <w:r>
        <w:t>предусматривающая требования к обмену данными кассовых аппаратов с СКНО.</w:t>
      </w:r>
    </w:p>
    <w:p w14:paraId="75EF8DA9" w14:textId="77777777" w:rsidR="00FC1A7A" w:rsidRDefault="009060C9">
      <w:pPr>
        <w:pStyle w:val="1"/>
        <w:ind w:firstLine="720"/>
        <w:jc w:val="both"/>
      </w:pPr>
      <w:r>
        <w:t>Постановление № 29/99 опубликовано на Национальном правовом Интернет-портале Республики Беларусь 10.12.2022 и вступило в силу с 11 декабря 2022 г.</w:t>
      </w:r>
    </w:p>
    <w:p w14:paraId="021A9200" w14:textId="77777777" w:rsidR="00FC1A7A" w:rsidRDefault="009060C9">
      <w:pPr>
        <w:pStyle w:val="1"/>
        <w:ind w:firstLine="720"/>
        <w:jc w:val="both"/>
      </w:pPr>
      <w:r>
        <w:t>Доп</w:t>
      </w:r>
      <w:r>
        <w:t>олнительно отмечаем, что в соответствии с постановлением № 841/27 запрет на выпуск в обращение и использование кассовых аппаратов, не соответствующих установленным требованиям, вступает в силу с 1 июля 2025 г.</w:t>
      </w:r>
    </w:p>
    <w:p w14:paraId="505FA8F2" w14:textId="77777777" w:rsidR="00FC1A7A" w:rsidRDefault="009060C9">
      <w:pPr>
        <w:pStyle w:val="1"/>
        <w:ind w:firstLine="720"/>
        <w:jc w:val="both"/>
      </w:pPr>
      <w:r>
        <w:t xml:space="preserve">Такой подход устанавливает необходимый период </w:t>
      </w:r>
      <w:r>
        <w:t>для доработки производителями на соответствие новым требованиям моделей (модификаций) кассовых аппаратов, включенных в Государственный реестр моделей (модификаций) кассовых суммирующих аппаратов и специальных компьютерных систем, используемых на территории</w:t>
      </w:r>
      <w:r>
        <w:t xml:space="preserve"> Республики Беларусь (далее - Государственный реестр), и разработки новых </w:t>
      </w:r>
      <w:r>
        <w:lastRenderedPageBreak/>
        <w:t>моделей (модификаций) кассовых аппаратов, соответствующих требованиям, определенным постановлением № 29/99, а также для доработки используемых в торговых и иных объектах кассовых апп</w:t>
      </w:r>
      <w:r>
        <w:t>аратов до соответствия новым требованиям у пользователей кассовых аппаратов либо приобретение и подключение к СККО субъектами хозяйствования новых моделей (модификаций) кассовых аппаратов, соответствующих новым требованиям, включенных в Государственный рее</w:t>
      </w:r>
      <w:r>
        <w:t>стр. Также, данный подход позволит обеспечить безостановочный процесс использования субъектами хозяйствования кассовых аппаратов в период их доработки до установленных требований и минимизировать затраты субъектов хозяйствования.</w:t>
      </w:r>
    </w:p>
    <w:sectPr w:rsidR="00FC1A7A">
      <w:headerReference w:type="default" r:id="rId7"/>
      <w:headerReference w:type="first" r:id="rId8"/>
      <w:pgSz w:w="11900" w:h="16840"/>
      <w:pgMar w:top="1095" w:right="529" w:bottom="1181" w:left="166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CA7E" w14:textId="77777777" w:rsidR="009060C9" w:rsidRDefault="009060C9">
      <w:r>
        <w:separator/>
      </w:r>
    </w:p>
  </w:endnote>
  <w:endnote w:type="continuationSeparator" w:id="0">
    <w:p w14:paraId="41D1F98F" w14:textId="77777777" w:rsidR="009060C9" w:rsidRDefault="0090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DE61" w14:textId="77777777" w:rsidR="009060C9" w:rsidRDefault="009060C9"/>
  </w:footnote>
  <w:footnote w:type="continuationSeparator" w:id="0">
    <w:p w14:paraId="76D38B21" w14:textId="77777777" w:rsidR="009060C9" w:rsidRDefault="00906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CB11" w14:textId="77777777" w:rsidR="00FC1A7A" w:rsidRDefault="009060C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270017" wp14:editId="283B4E4B">
              <wp:simplePos x="0" y="0"/>
              <wp:positionH relativeFrom="page">
                <wp:posOffset>4094480</wp:posOffset>
              </wp:positionH>
              <wp:positionV relativeFrom="page">
                <wp:posOffset>491490</wp:posOffset>
              </wp:positionV>
              <wp:extent cx="8509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376838" w14:textId="77777777" w:rsidR="00FC1A7A" w:rsidRDefault="009060C9">
                          <w:pPr>
                            <w:pStyle w:val="20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2.40000000000003pt;margin-top:38.700000000000003pt;width:6.7000000000000002pt;height:10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AA3E" w14:textId="77777777" w:rsidR="00FC1A7A" w:rsidRDefault="00FC1A7A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E37EC"/>
    <w:multiLevelType w:val="multilevel"/>
    <w:tmpl w:val="2C345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7A"/>
    <w:rsid w:val="009060C9"/>
    <w:rsid w:val="00BA09C4"/>
    <w:rsid w:val="00F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88C1"/>
  <w15:docId w15:val="{394C6D69-F954-4F46-9B65-090B8BE5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Ярмолюк Ирина Геннадьевна</cp:lastModifiedBy>
  <cp:revision>3</cp:revision>
  <dcterms:created xsi:type="dcterms:W3CDTF">2023-01-05T08:58:00Z</dcterms:created>
  <dcterms:modified xsi:type="dcterms:W3CDTF">2023-01-05T09:00:00Z</dcterms:modified>
</cp:coreProperties>
</file>