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F6F5" w14:textId="77777777" w:rsidR="00A01D0D" w:rsidRPr="00A01D0D" w:rsidRDefault="00A01D0D" w:rsidP="00A01D0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01D0D">
        <w:rPr>
          <w:rFonts w:ascii="Times New Roman" w:hAnsi="Times New Roman" w:cs="Times New Roman"/>
          <w:b/>
          <w:bCs/>
          <w:sz w:val="30"/>
          <w:szCs w:val="30"/>
        </w:rPr>
        <w:t>Вниманию индивидуальных предпринимателей – плательщиков подоходного налога с физических лиц при осуществлении предпринимательской деятельности</w:t>
      </w:r>
    </w:p>
    <w:p w14:paraId="21AAD43F" w14:textId="77777777" w:rsidR="00A01D0D" w:rsidRPr="00A01D0D" w:rsidRDefault="00A01D0D" w:rsidP="00A01D0D">
      <w:pPr>
        <w:jc w:val="both"/>
        <w:rPr>
          <w:rFonts w:ascii="Times New Roman" w:hAnsi="Times New Roman" w:cs="Times New Roman"/>
          <w:sz w:val="30"/>
          <w:szCs w:val="30"/>
        </w:rPr>
      </w:pPr>
      <w:r w:rsidRPr="00A01D0D">
        <w:rPr>
          <w:rFonts w:ascii="Times New Roman" w:hAnsi="Times New Roman" w:cs="Times New Roman"/>
          <w:sz w:val="30"/>
          <w:szCs w:val="30"/>
        </w:rPr>
        <w:t>В Инструкцию о порядке ведения учета доходов и расходов, утвержденную постановлением Министерства по налогам и сборам Республики Беларусь от 30.01.2019 № 5 (далее - Инструкция), внесены изменения и дополнения, вступившие в силу 13 апреля 2022 года.</w:t>
      </w:r>
    </w:p>
    <w:p w14:paraId="76E2B547" w14:textId="77777777" w:rsidR="00A01D0D" w:rsidRPr="00A01D0D" w:rsidRDefault="00A01D0D" w:rsidP="00A01D0D">
      <w:pPr>
        <w:jc w:val="both"/>
        <w:rPr>
          <w:rFonts w:ascii="Times New Roman" w:hAnsi="Times New Roman" w:cs="Times New Roman"/>
          <w:sz w:val="30"/>
          <w:szCs w:val="30"/>
        </w:rPr>
      </w:pPr>
      <w:r w:rsidRPr="00A01D0D">
        <w:rPr>
          <w:rFonts w:ascii="Times New Roman" w:hAnsi="Times New Roman" w:cs="Times New Roman"/>
          <w:sz w:val="30"/>
          <w:szCs w:val="30"/>
        </w:rPr>
        <w:t xml:space="preserve">В целях ведения индивидуальными предпринимателями учета выплаченных доходов и перечисленных в бюджет сумм подоходного налога с физических лиц приложение 10 к Инструкции (форма карточки лицевого счета) исключено, и </w:t>
      </w:r>
      <w:r w:rsidRPr="00A01D0D">
        <w:rPr>
          <w:rFonts w:ascii="Times New Roman" w:hAnsi="Times New Roman" w:cs="Times New Roman"/>
          <w:b/>
          <w:bCs/>
          <w:sz w:val="30"/>
          <w:szCs w:val="30"/>
        </w:rPr>
        <w:t>вместо карточки лицевого счета введена книга учета обязательств налоговым агентом</w:t>
      </w:r>
      <w:r w:rsidRPr="00A01D0D">
        <w:rPr>
          <w:rFonts w:ascii="Times New Roman" w:hAnsi="Times New Roman" w:cs="Times New Roman"/>
          <w:sz w:val="30"/>
          <w:szCs w:val="30"/>
        </w:rPr>
        <w:t>. В этой связи Инструкция дополнена приложением 12 и главой 10 «Учет обязательств налоговым агентом», в которой определен порядок заполнения указанной книги.</w:t>
      </w:r>
    </w:p>
    <w:p w14:paraId="112F7D94" w14:textId="77777777" w:rsidR="00A01D0D" w:rsidRDefault="00A01D0D" w:rsidP="00A01D0D">
      <w:pPr>
        <w:jc w:val="both"/>
        <w:rPr>
          <w:rFonts w:ascii="Times New Roman" w:hAnsi="Times New Roman" w:cs="Times New Roman"/>
          <w:sz w:val="30"/>
          <w:szCs w:val="30"/>
        </w:rPr>
      </w:pPr>
      <w:r w:rsidRPr="00A01D0D">
        <w:rPr>
          <w:rFonts w:ascii="Times New Roman" w:hAnsi="Times New Roman" w:cs="Times New Roman"/>
          <w:sz w:val="30"/>
          <w:szCs w:val="30"/>
        </w:rPr>
        <w:t xml:space="preserve">Также в пункте 26 Инструкции закреплен </w:t>
      </w:r>
      <w:r w:rsidRPr="00A01D0D">
        <w:rPr>
          <w:rFonts w:ascii="Times New Roman" w:hAnsi="Times New Roman" w:cs="Times New Roman"/>
          <w:b/>
          <w:bCs/>
          <w:sz w:val="30"/>
          <w:szCs w:val="30"/>
        </w:rPr>
        <w:t>порядок определения стоимости объектов основных средств при переходе индивидуального предпринимателя с применения особого режима налогообложения</w:t>
      </w:r>
      <w:r w:rsidRPr="00A01D0D">
        <w:rPr>
          <w:rFonts w:ascii="Times New Roman" w:hAnsi="Times New Roman" w:cs="Times New Roman"/>
          <w:sz w:val="30"/>
          <w:szCs w:val="30"/>
        </w:rPr>
        <w:t xml:space="preserve"> (упрощенная система налогообложения или уплата единого налога с индивидуальных предпринимателей и иных физических лиц) </w:t>
      </w:r>
      <w:r w:rsidRPr="00A01D0D">
        <w:rPr>
          <w:rFonts w:ascii="Times New Roman" w:hAnsi="Times New Roman" w:cs="Times New Roman"/>
          <w:b/>
          <w:bCs/>
          <w:sz w:val="30"/>
          <w:szCs w:val="30"/>
        </w:rPr>
        <w:t>на общий порядок налогообложения</w:t>
      </w:r>
      <w:r w:rsidRPr="00A01D0D">
        <w:rPr>
          <w:rFonts w:ascii="Times New Roman" w:hAnsi="Times New Roman" w:cs="Times New Roman"/>
          <w:sz w:val="30"/>
          <w:szCs w:val="30"/>
        </w:rPr>
        <w:t xml:space="preserve">. Так, первоначальная стоимость основных средств указанными плательщиками определяется с учетом положений пункта 21 Инструкции и корректируется на всю сумму амортизации за весь период использования объекта в предпринимательской, нотариальной деятельности при применении особого режима налогообложения. </w:t>
      </w:r>
    </w:p>
    <w:p w14:paraId="3029E0B4" w14:textId="1BC5E002" w:rsidR="005D74F4" w:rsidRPr="00A01D0D" w:rsidRDefault="00A01D0D" w:rsidP="00A01D0D">
      <w:pPr>
        <w:jc w:val="both"/>
        <w:rPr>
          <w:rFonts w:ascii="Times New Roman" w:hAnsi="Times New Roman" w:cs="Times New Roman"/>
          <w:sz w:val="30"/>
          <w:szCs w:val="30"/>
        </w:rPr>
      </w:pPr>
      <w:r w:rsidRPr="00A01D0D">
        <w:rPr>
          <w:rFonts w:ascii="Times New Roman" w:hAnsi="Times New Roman" w:cs="Times New Roman"/>
          <w:sz w:val="30"/>
          <w:szCs w:val="30"/>
        </w:rPr>
        <w:t>Расчет суммы амортизации для определения остаточной (</w:t>
      </w:r>
      <w:proofErr w:type="spellStart"/>
      <w:r w:rsidRPr="00A01D0D">
        <w:rPr>
          <w:rFonts w:ascii="Times New Roman" w:hAnsi="Times New Roman" w:cs="Times New Roman"/>
          <w:sz w:val="30"/>
          <w:szCs w:val="30"/>
        </w:rPr>
        <w:t>недоамортизированной</w:t>
      </w:r>
      <w:proofErr w:type="spellEnd"/>
      <w:r w:rsidRPr="00A01D0D">
        <w:rPr>
          <w:rFonts w:ascii="Times New Roman" w:hAnsi="Times New Roman" w:cs="Times New Roman"/>
          <w:sz w:val="30"/>
          <w:szCs w:val="30"/>
        </w:rPr>
        <w:t>) стоимости на момент перехода на общий порядок налогообложения производится с учетом норм Инструкции о порядке начисления амортизации основных средств и нематериальных активов, утвержденной постановлением Министерства экономики Республики Беларусь, Министерства финансов Республики Беларусь и Министерства архитектуры и строительства Республики Беларусь от 27.02.2009 № 37/18/6.</w:t>
      </w:r>
    </w:p>
    <w:sectPr w:rsidR="005D74F4" w:rsidRPr="00A0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56"/>
    <w:rsid w:val="005D74F4"/>
    <w:rsid w:val="009D3C56"/>
    <w:rsid w:val="00A0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A03"/>
  <w15:chartTrackingRefBased/>
  <w15:docId w15:val="{F2B7644C-7F9C-4E29-BA20-F528EA0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2022-04-28T12:51:00Z</dcterms:created>
  <dcterms:modified xsi:type="dcterms:W3CDTF">2022-04-28T12:57:00Z</dcterms:modified>
</cp:coreProperties>
</file>