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8FED8" w14:textId="77777777" w:rsidR="00BA34ED" w:rsidRPr="00BA34ED" w:rsidRDefault="00BA34ED" w:rsidP="000607D0">
      <w:pPr>
        <w:jc w:val="both"/>
        <w:outlineLvl w:val="0"/>
        <w:rPr>
          <w:rFonts w:eastAsia="Times New Roman"/>
          <w:b/>
          <w:bCs/>
          <w:color w:val="000000"/>
          <w:kern w:val="36"/>
          <w:szCs w:val="30"/>
          <w:lang w:eastAsia="ru-RU"/>
        </w:rPr>
      </w:pPr>
      <w:r w:rsidRPr="00BA34ED">
        <w:rPr>
          <w:rFonts w:eastAsia="Times New Roman"/>
          <w:b/>
          <w:bCs/>
          <w:color w:val="000000"/>
          <w:kern w:val="36"/>
          <w:szCs w:val="30"/>
          <w:lang w:eastAsia="ru-RU"/>
        </w:rPr>
        <w:t>О переходе с 1 июля 2025 года на использование кассового оборудования соответствующего новым требованиям</w:t>
      </w:r>
    </w:p>
    <w:p w14:paraId="23B86FD6" w14:textId="77777777" w:rsidR="000607D0" w:rsidRDefault="000607D0" w:rsidP="000607D0">
      <w:pPr>
        <w:jc w:val="both"/>
        <w:rPr>
          <w:rFonts w:eastAsia="Times New Roman"/>
          <w:color w:val="3C3C3C"/>
          <w:szCs w:val="30"/>
          <w:lang w:eastAsia="ru-RU"/>
        </w:rPr>
      </w:pPr>
    </w:p>
    <w:p w14:paraId="2EFC0B36" w14:textId="56DE282F" w:rsidR="00BA34ED" w:rsidRPr="00BA34ED" w:rsidRDefault="00B0773A" w:rsidP="000607D0">
      <w:pPr>
        <w:ind w:firstLine="567"/>
        <w:jc w:val="both"/>
        <w:rPr>
          <w:rFonts w:eastAsia="Times New Roman"/>
          <w:color w:val="3C3C3C"/>
          <w:szCs w:val="30"/>
          <w:lang w:eastAsia="ru-RU"/>
        </w:rPr>
      </w:pPr>
      <w:hyperlink r:id="rId4" w:history="1">
        <w:r w:rsidR="00BA34ED" w:rsidRPr="00BA34ED">
          <w:rPr>
            <w:rFonts w:eastAsia="Times New Roman"/>
            <w:color w:val="006666"/>
            <w:szCs w:val="30"/>
            <w:u w:val="single"/>
            <w:lang w:eastAsia="ru-RU"/>
          </w:rPr>
          <w:t>С 1 июля 2025 года</w:t>
        </w:r>
      </w:hyperlink>
      <w:r w:rsidR="00BA34ED" w:rsidRPr="00BA34ED">
        <w:rPr>
          <w:rFonts w:eastAsia="Times New Roman"/>
          <w:color w:val="3C3C3C"/>
          <w:szCs w:val="30"/>
          <w:lang w:eastAsia="ru-RU"/>
        </w:rPr>
        <w:t> субъекты хозяйствования </w:t>
      </w:r>
      <w:r w:rsidR="00BA34ED" w:rsidRPr="00BA34ED">
        <w:rPr>
          <w:rFonts w:eastAsia="Times New Roman"/>
          <w:b/>
          <w:bCs/>
          <w:color w:val="3C3C3C"/>
          <w:szCs w:val="30"/>
          <w:lang w:eastAsia="ru-RU"/>
        </w:rPr>
        <w:t>должны использовать кассовые суммирующие аппараты</w:t>
      </w:r>
      <w:r w:rsidR="00BA34ED" w:rsidRPr="00BA34ED">
        <w:rPr>
          <w:rFonts w:eastAsia="Times New Roman"/>
          <w:color w:val="3C3C3C"/>
          <w:szCs w:val="30"/>
          <w:lang w:eastAsia="ru-RU"/>
        </w:rPr>
        <w:t>, соответствующие требованиям постановления Министерства по налогам и сборам Республики Беларусь и Государственного комитета по стандартизации Республики Беларусь от 14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="00BA34ED" w:rsidRPr="00BA34ED">
        <w:rPr>
          <w:rFonts w:eastAsia="Times New Roman"/>
          <w:color w:val="3C3C3C"/>
          <w:szCs w:val="30"/>
          <w:lang w:eastAsia="ru-RU"/>
        </w:rPr>
        <w:t>октября 2022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="00BA34ED" w:rsidRPr="00BA34ED">
        <w:rPr>
          <w:rFonts w:eastAsia="Times New Roman"/>
          <w:color w:val="3C3C3C"/>
          <w:szCs w:val="30"/>
          <w:lang w:eastAsia="ru-RU"/>
        </w:rPr>
        <w:t xml:space="preserve">г. </w:t>
      </w:r>
      <w:r w:rsidR="00BA34ED">
        <w:rPr>
          <w:rFonts w:eastAsia="Times New Roman"/>
          <w:color w:val="3C3C3C"/>
          <w:szCs w:val="30"/>
          <w:lang w:eastAsia="ru-RU"/>
        </w:rPr>
        <w:t>№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="00BA34ED" w:rsidRPr="00BA34ED">
        <w:rPr>
          <w:rFonts w:eastAsia="Times New Roman"/>
          <w:color w:val="3C3C3C"/>
          <w:szCs w:val="30"/>
          <w:lang w:eastAsia="ru-RU"/>
        </w:rPr>
        <w:t xml:space="preserve">29/99 </w:t>
      </w:r>
      <w:r w:rsidR="00BA34ED">
        <w:rPr>
          <w:rFonts w:eastAsia="Times New Roman"/>
          <w:color w:val="3C3C3C"/>
          <w:szCs w:val="30"/>
          <w:lang w:eastAsia="ru-RU"/>
        </w:rPr>
        <w:t>«</w:t>
      </w:r>
      <w:r w:rsidR="00BA34ED" w:rsidRPr="00BA34ED">
        <w:rPr>
          <w:rFonts w:eastAsia="Times New Roman"/>
          <w:color w:val="3C3C3C"/>
          <w:szCs w:val="30"/>
          <w:lang w:eastAsia="ru-RU"/>
        </w:rPr>
        <w:t>О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="00BA34ED" w:rsidRPr="00BA34ED">
        <w:rPr>
          <w:rFonts w:eastAsia="Times New Roman"/>
          <w:color w:val="3C3C3C"/>
          <w:szCs w:val="30"/>
          <w:lang w:eastAsia="ru-RU"/>
        </w:rPr>
        <w:t>требованиях к кассовым суммирующим аппаратам, в том числе совмещенным с таксометрами, билетопечатающим машинам</w:t>
      </w:r>
      <w:r w:rsidR="00BA34ED">
        <w:rPr>
          <w:rFonts w:eastAsia="Times New Roman"/>
          <w:color w:val="3C3C3C"/>
          <w:szCs w:val="30"/>
          <w:lang w:eastAsia="ru-RU"/>
        </w:rPr>
        <w:t>»</w:t>
      </w:r>
      <w:r w:rsidR="00BA34ED" w:rsidRPr="00BA34ED">
        <w:rPr>
          <w:rFonts w:eastAsia="Times New Roman"/>
          <w:color w:val="3C3C3C"/>
          <w:szCs w:val="30"/>
          <w:lang w:eastAsia="ru-RU"/>
        </w:rPr>
        <w:t>, и </w:t>
      </w:r>
      <w:r w:rsidR="00BA34ED" w:rsidRPr="00BA34ED">
        <w:rPr>
          <w:rFonts w:eastAsia="Times New Roman"/>
          <w:b/>
          <w:bCs/>
          <w:color w:val="3C3C3C"/>
          <w:szCs w:val="30"/>
          <w:lang w:eastAsia="ru-RU"/>
        </w:rPr>
        <w:t>программные кассы</w:t>
      </w:r>
      <w:r w:rsidR="00BA34ED" w:rsidRPr="00BA34ED">
        <w:rPr>
          <w:rFonts w:eastAsia="Times New Roman"/>
          <w:color w:val="3C3C3C"/>
          <w:szCs w:val="30"/>
          <w:lang w:eastAsia="ru-RU"/>
        </w:rPr>
        <w:t>, соответствующие требованиям постановления Министерства по налогам и сборам Республики Беларусь от 29</w:t>
      </w:r>
      <w:r w:rsidR="00BA34ED">
        <w:rPr>
          <w:rFonts w:eastAsia="Times New Roman"/>
          <w:color w:val="3C3C3C"/>
          <w:szCs w:val="30"/>
          <w:lang w:eastAsia="ru-RU"/>
        </w:rPr>
        <w:t> </w:t>
      </w:r>
      <w:r w:rsidR="00BA34ED" w:rsidRPr="00BA34ED">
        <w:rPr>
          <w:rFonts w:eastAsia="Times New Roman"/>
          <w:color w:val="3C3C3C"/>
          <w:szCs w:val="30"/>
          <w:lang w:eastAsia="ru-RU"/>
        </w:rPr>
        <w:t>марта 2018</w:t>
      </w:r>
      <w:r w:rsidR="00BA34ED">
        <w:rPr>
          <w:rFonts w:eastAsia="Times New Roman"/>
          <w:color w:val="3C3C3C"/>
          <w:szCs w:val="30"/>
          <w:lang w:eastAsia="ru-RU"/>
        </w:rPr>
        <w:t> </w:t>
      </w:r>
      <w:r w:rsidR="00BA34ED" w:rsidRPr="00BA34ED">
        <w:rPr>
          <w:rFonts w:eastAsia="Times New Roman"/>
          <w:color w:val="3C3C3C"/>
          <w:szCs w:val="30"/>
          <w:lang w:eastAsia="ru-RU"/>
        </w:rPr>
        <w:t>г. №</w:t>
      </w:r>
      <w:r w:rsidR="00BA34ED">
        <w:rPr>
          <w:rFonts w:eastAsia="Times New Roman"/>
          <w:color w:val="3C3C3C"/>
          <w:szCs w:val="30"/>
          <w:lang w:eastAsia="ru-RU"/>
        </w:rPr>
        <w:t> </w:t>
      </w:r>
      <w:r w:rsidR="00BA34ED" w:rsidRPr="00BA34ED">
        <w:rPr>
          <w:rFonts w:eastAsia="Times New Roman"/>
          <w:color w:val="3C3C3C"/>
          <w:szCs w:val="30"/>
          <w:lang w:eastAsia="ru-RU"/>
        </w:rPr>
        <w:t xml:space="preserve">10 </w:t>
      </w:r>
      <w:r w:rsidR="00BA34ED">
        <w:rPr>
          <w:rFonts w:eastAsia="Times New Roman"/>
          <w:color w:val="3C3C3C"/>
          <w:szCs w:val="30"/>
          <w:lang w:eastAsia="ru-RU"/>
        </w:rPr>
        <w:t>«</w:t>
      </w:r>
      <w:r w:rsidR="00BA34ED" w:rsidRPr="00BA34ED">
        <w:rPr>
          <w:rFonts w:eastAsia="Times New Roman"/>
          <w:color w:val="3C3C3C"/>
          <w:szCs w:val="30"/>
          <w:lang w:eastAsia="ru-RU"/>
        </w:rPr>
        <w:t>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</w:t>
      </w:r>
      <w:r w:rsidR="00BA34ED">
        <w:rPr>
          <w:rFonts w:eastAsia="Times New Roman"/>
          <w:color w:val="3C3C3C"/>
          <w:szCs w:val="30"/>
          <w:lang w:eastAsia="ru-RU"/>
        </w:rPr>
        <w:t>»</w:t>
      </w:r>
      <w:r w:rsidR="00BA34ED" w:rsidRPr="00BA34ED">
        <w:rPr>
          <w:rFonts w:eastAsia="Times New Roman"/>
          <w:color w:val="3C3C3C"/>
          <w:szCs w:val="30"/>
          <w:lang w:eastAsia="ru-RU"/>
        </w:rPr>
        <w:t xml:space="preserve"> (</w:t>
      </w:r>
      <w:r w:rsidR="00BA34ED" w:rsidRPr="00BA34ED">
        <w:rPr>
          <w:rFonts w:eastAsia="Times New Roman"/>
          <w:i/>
          <w:iCs/>
          <w:color w:val="3C3C3C"/>
          <w:szCs w:val="30"/>
          <w:lang w:eastAsia="ru-RU"/>
        </w:rPr>
        <w:t>в редакции постановлений Министерства по налогам и сборам Республики Беларусь от 29 декабря 2022 г. № 41 и от 15 марта 2024 г. № 8</w:t>
      </w:r>
      <w:r w:rsidR="00BA34ED" w:rsidRPr="00BA34ED">
        <w:rPr>
          <w:rFonts w:eastAsia="Times New Roman"/>
          <w:color w:val="3C3C3C"/>
          <w:szCs w:val="30"/>
          <w:lang w:eastAsia="ru-RU"/>
        </w:rPr>
        <w:t>).</w:t>
      </w:r>
    </w:p>
    <w:p w14:paraId="39F6BC04" w14:textId="4C334201" w:rsidR="00BA34ED" w:rsidRPr="00BA34ED" w:rsidRDefault="00BA34ED" w:rsidP="00BA34ED">
      <w:pPr>
        <w:spacing w:before="120" w:after="120"/>
        <w:ind w:firstLine="567"/>
        <w:jc w:val="both"/>
        <w:rPr>
          <w:rFonts w:eastAsia="Times New Roman"/>
          <w:color w:val="3C3C3C"/>
          <w:szCs w:val="30"/>
          <w:lang w:eastAsia="ru-RU"/>
        </w:rPr>
      </w:pPr>
      <w:r w:rsidRPr="00BA34ED">
        <w:rPr>
          <w:rFonts w:eastAsia="Times New Roman"/>
          <w:color w:val="3C3C3C"/>
          <w:szCs w:val="30"/>
          <w:lang w:eastAsia="ru-RU"/>
        </w:rPr>
        <w:t>Кроме того, в соответствии с постановлением Совета Министров Республики Беларусь и Национального банка Республики Беларусь от 6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Pr="00BA34ED">
        <w:rPr>
          <w:rFonts w:eastAsia="Times New Roman"/>
          <w:color w:val="3C3C3C"/>
          <w:szCs w:val="30"/>
          <w:lang w:eastAsia="ru-RU"/>
        </w:rPr>
        <w:t>июля 2011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Pr="00BA34ED">
        <w:rPr>
          <w:rFonts w:eastAsia="Times New Roman"/>
          <w:color w:val="3C3C3C"/>
          <w:szCs w:val="30"/>
          <w:lang w:eastAsia="ru-RU"/>
        </w:rPr>
        <w:t>г. №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Pr="00BA34ED">
        <w:rPr>
          <w:rFonts w:eastAsia="Times New Roman"/>
          <w:color w:val="3C3C3C"/>
          <w:szCs w:val="30"/>
          <w:lang w:eastAsia="ru-RU"/>
        </w:rPr>
        <w:t xml:space="preserve">924/16 </w:t>
      </w:r>
      <w:r w:rsidR="00E53A09">
        <w:rPr>
          <w:rFonts w:eastAsia="Times New Roman"/>
          <w:color w:val="3C3C3C"/>
          <w:szCs w:val="30"/>
          <w:lang w:eastAsia="ru-RU"/>
        </w:rPr>
        <w:t>«</w:t>
      </w:r>
      <w:r w:rsidRPr="00BA34ED">
        <w:rPr>
          <w:rFonts w:eastAsia="Times New Roman"/>
          <w:color w:val="3C3C3C"/>
          <w:szCs w:val="30"/>
          <w:lang w:eastAsia="ru-RU"/>
        </w:rPr>
        <w:t>Об использовании кассового и иного оборудования при приеме средств платежа</w:t>
      </w:r>
      <w:r w:rsidR="00E53A09">
        <w:rPr>
          <w:rFonts w:eastAsia="Times New Roman"/>
          <w:color w:val="3C3C3C"/>
          <w:szCs w:val="30"/>
          <w:lang w:eastAsia="ru-RU"/>
        </w:rPr>
        <w:t xml:space="preserve">» </w:t>
      </w:r>
      <w:r w:rsidRPr="00BA34ED">
        <w:rPr>
          <w:rFonts w:eastAsia="Times New Roman"/>
          <w:i/>
          <w:iCs/>
          <w:color w:val="3C3C3C"/>
          <w:szCs w:val="30"/>
          <w:lang w:eastAsia="ru-RU"/>
        </w:rPr>
        <w:t>(в редакции постановления Совета Министров Республики Беларусь, Национального банка Республики Беларусь от 23 октября 2023 г. №</w:t>
      </w:r>
      <w:r w:rsidR="00E53A09">
        <w:rPr>
          <w:rFonts w:eastAsia="Times New Roman"/>
          <w:i/>
          <w:iCs/>
          <w:color w:val="3C3C3C"/>
          <w:szCs w:val="30"/>
          <w:lang w:eastAsia="ru-RU"/>
        </w:rPr>
        <w:t> </w:t>
      </w:r>
      <w:r w:rsidRPr="00BA34ED">
        <w:rPr>
          <w:rFonts w:eastAsia="Times New Roman"/>
          <w:i/>
          <w:iCs/>
          <w:color w:val="3C3C3C"/>
          <w:szCs w:val="30"/>
          <w:lang w:eastAsia="ru-RU"/>
        </w:rPr>
        <w:t>712/19</w:t>
      </w:r>
      <w:r w:rsidRPr="00BA34ED">
        <w:rPr>
          <w:rFonts w:eastAsia="Times New Roman"/>
          <w:color w:val="3C3C3C"/>
          <w:szCs w:val="30"/>
          <w:lang w:eastAsia="ru-RU"/>
        </w:rPr>
        <w:t>) с </w:t>
      </w:r>
      <w:r w:rsidRPr="00BA34ED">
        <w:rPr>
          <w:rFonts w:eastAsia="Times New Roman"/>
          <w:b/>
          <w:bCs/>
          <w:color w:val="3C3C3C"/>
          <w:szCs w:val="30"/>
          <w:lang w:eastAsia="ru-RU"/>
        </w:rPr>
        <w:t>1 июля 2025</w:t>
      </w:r>
      <w:r w:rsidR="00E53A09">
        <w:rPr>
          <w:rFonts w:eastAsia="Times New Roman"/>
          <w:b/>
          <w:bCs/>
          <w:color w:val="3C3C3C"/>
          <w:szCs w:val="30"/>
          <w:lang w:eastAsia="ru-RU"/>
        </w:rPr>
        <w:t> </w:t>
      </w:r>
      <w:r w:rsidRPr="00BA34ED">
        <w:rPr>
          <w:rFonts w:eastAsia="Times New Roman"/>
          <w:b/>
          <w:bCs/>
          <w:color w:val="3C3C3C"/>
          <w:szCs w:val="30"/>
          <w:lang w:eastAsia="ru-RU"/>
        </w:rPr>
        <w:t>г.</w:t>
      </w:r>
      <w:r w:rsidRPr="00BA34ED">
        <w:rPr>
          <w:rFonts w:eastAsia="Times New Roman"/>
          <w:color w:val="3C3C3C"/>
          <w:szCs w:val="30"/>
          <w:lang w:eastAsia="ru-RU"/>
        </w:rPr>
        <w:t> </w:t>
      </w:r>
      <w:hyperlink r:id="rId5" w:history="1">
        <w:r w:rsidRPr="00BA34ED">
          <w:rPr>
            <w:rFonts w:eastAsia="Times New Roman"/>
            <w:color w:val="006666"/>
            <w:szCs w:val="30"/>
            <w:u w:val="single"/>
            <w:lang w:eastAsia="ru-RU"/>
          </w:rPr>
          <w:t>расширены</w:t>
        </w:r>
      </w:hyperlink>
      <w:r w:rsidRPr="00BA34ED">
        <w:rPr>
          <w:rFonts w:eastAsia="Times New Roman"/>
          <w:color w:val="3C3C3C"/>
          <w:szCs w:val="30"/>
          <w:lang w:eastAsia="ru-RU"/>
        </w:rPr>
        <w:t>:</w:t>
      </w:r>
    </w:p>
    <w:p w14:paraId="5B777A21" w14:textId="77777777" w:rsidR="00BA34ED" w:rsidRPr="00BA34ED" w:rsidRDefault="00BA34ED" w:rsidP="00BA34ED">
      <w:pPr>
        <w:spacing w:before="120" w:after="120"/>
        <w:ind w:firstLine="567"/>
        <w:jc w:val="both"/>
        <w:rPr>
          <w:rFonts w:eastAsia="Times New Roman"/>
          <w:szCs w:val="30"/>
          <w:lang w:eastAsia="ru-RU"/>
        </w:rPr>
      </w:pPr>
      <w:r w:rsidRPr="00BA34ED">
        <w:rPr>
          <w:rFonts w:eastAsia="Times New Roman"/>
          <w:color w:val="3C3C3C"/>
          <w:szCs w:val="30"/>
          <w:lang w:eastAsia="ru-RU"/>
        </w:rPr>
        <w:t>- перечень случаев, в которых субъекты хозяйствования обязаны использовать кассовое оборудование;</w:t>
      </w:r>
    </w:p>
    <w:p w14:paraId="11951F54" w14:textId="77777777" w:rsidR="00BA34ED" w:rsidRPr="00BA34ED" w:rsidRDefault="00BA34ED" w:rsidP="00BA34ED">
      <w:pPr>
        <w:spacing w:before="120" w:after="120"/>
        <w:ind w:firstLine="567"/>
        <w:jc w:val="both"/>
        <w:rPr>
          <w:rFonts w:eastAsia="Times New Roman"/>
          <w:color w:val="3C3C3C"/>
          <w:szCs w:val="30"/>
          <w:lang w:eastAsia="ru-RU"/>
        </w:rPr>
      </w:pPr>
      <w:r w:rsidRPr="00BA34ED">
        <w:rPr>
          <w:rFonts w:eastAsia="Times New Roman"/>
          <w:color w:val="3C3C3C"/>
          <w:szCs w:val="30"/>
          <w:lang w:eastAsia="ru-RU"/>
        </w:rPr>
        <w:t>- перечень объектов (видов деятельности), в которых субъекты хозяйствования используют платежные терминалы.</w:t>
      </w:r>
    </w:p>
    <w:p w14:paraId="3D9AC224" w14:textId="77777777" w:rsidR="00BA34ED" w:rsidRPr="00BA34ED" w:rsidRDefault="00BA34ED" w:rsidP="00BA34ED">
      <w:pPr>
        <w:spacing w:before="120" w:after="120"/>
        <w:ind w:firstLine="567"/>
        <w:jc w:val="both"/>
        <w:rPr>
          <w:rFonts w:eastAsia="Times New Roman"/>
          <w:color w:val="3C3C3C"/>
          <w:szCs w:val="30"/>
          <w:lang w:eastAsia="ru-RU"/>
        </w:rPr>
      </w:pPr>
      <w:r w:rsidRPr="00BA34ED">
        <w:rPr>
          <w:rFonts w:eastAsia="Times New Roman"/>
          <w:color w:val="3C3C3C"/>
          <w:szCs w:val="30"/>
          <w:lang w:eastAsia="ru-RU"/>
        </w:rPr>
        <w:t>Также с указанной даты (</w:t>
      </w:r>
      <w:r w:rsidRPr="00BA34ED">
        <w:rPr>
          <w:rFonts w:eastAsia="Times New Roman"/>
          <w:i/>
          <w:iCs/>
          <w:color w:val="3C3C3C"/>
          <w:szCs w:val="30"/>
          <w:lang w:eastAsia="ru-RU"/>
        </w:rPr>
        <w:t>с 1 июля 2025 г.</w:t>
      </w:r>
      <w:r w:rsidRPr="00BA34ED">
        <w:rPr>
          <w:rFonts w:eastAsia="Times New Roman"/>
          <w:color w:val="3C3C3C"/>
          <w:szCs w:val="30"/>
          <w:lang w:eastAsia="ru-RU"/>
        </w:rPr>
        <w:t>) субъекты хозяйствования обязаны использовать кассовые суммирующие аппараты в т.ч. совмещенные с таксометрами, билетопечатающие машины, включенные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и программные кассы, обеспечивающие в т.ч. считывание и передачу в систему контроля кассового оборудования информации о реализации товаров, маркированных унифицированными контрольными знаками или средствами идентификации.</w:t>
      </w:r>
    </w:p>
    <w:p w14:paraId="0322C829" w14:textId="77777777" w:rsidR="00BA34ED" w:rsidRPr="00BA34ED" w:rsidRDefault="00BA34ED" w:rsidP="00BA34ED">
      <w:pPr>
        <w:spacing w:before="120" w:after="120"/>
        <w:ind w:firstLine="567"/>
        <w:jc w:val="both"/>
        <w:rPr>
          <w:rFonts w:eastAsia="Times New Roman"/>
          <w:color w:val="3C3C3C"/>
          <w:szCs w:val="30"/>
          <w:lang w:eastAsia="ru-RU"/>
        </w:rPr>
      </w:pPr>
      <w:r w:rsidRPr="00BA34ED">
        <w:rPr>
          <w:rFonts w:eastAsia="Times New Roman"/>
          <w:color w:val="3C3C3C"/>
          <w:szCs w:val="30"/>
          <w:lang w:eastAsia="ru-RU"/>
        </w:rPr>
        <w:t>Плательщикам необходимо заранее </w:t>
      </w:r>
      <w:hyperlink r:id="rId6" w:history="1">
        <w:r w:rsidRPr="00BA34ED">
          <w:rPr>
            <w:rFonts w:eastAsia="Times New Roman"/>
            <w:color w:val="006666"/>
            <w:szCs w:val="30"/>
            <w:u w:val="single"/>
            <w:lang w:eastAsia="ru-RU"/>
          </w:rPr>
          <w:t>обновить применяемое</w:t>
        </w:r>
      </w:hyperlink>
      <w:r w:rsidRPr="00BA34ED">
        <w:rPr>
          <w:rFonts w:eastAsia="Times New Roman"/>
          <w:color w:val="3C3C3C"/>
          <w:szCs w:val="30"/>
          <w:lang w:eastAsia="ru-RU"/>
        </w:rPr>
        <w:t xml:space="preserve"> в торговых объектах кассовое оборудование. В случае если используемое оборудование не может быть доработано до соответствия новым </w:t>
      </w:r>
      <w:r w:rsidRPr="00BA34ED">
        <w:rPr>
          <w:rFonts w:eastAsia="Times New Roman"/>
          <w:color w:val="3C3C3C"/>
          <w:szCs w:val="30"/>
          <w:lang w:eastAsia="ru-RU"/>
        </w:rPr>
        <w:lastRenderedPageBreak/>
        <w:t>требованиям, то субъектам хозяйствования необходимо приобрести другие модели (модификации) кассового аппарата или программной кассы.</w:t>
      </w:r>
    </w:p>
    <w:p w14:paraId="37240558" w14:textId="6577FC00" w:rsidR="00A46AA9" w:rsidRDefault="00BA34ED" w:rsidP="00E53A09">
      <w:pPr>
        <w:spacing w:before="120"/>
        <w:ind w:firstLine="567"/>
        <w:jc w:val="both"/>
        <w:rPr>
          <w:rFonts w:eastAsia="Times New Roman"/>
          <w:color w:val="3C3C3C"/>
          <w:szCs w:val="30"/>
          <w:lang w:eastAsia="ru-RU"/>
        </w:rPr>
      </w:pPr>
      <w:r w:rsidRPr="00BA34ED">
        <w:rPr>
          <w:rFonts w:eastAsia="Times New Roman"/>
          <w:color w:val="3C3C3C"/>
          <w:szCs w:val="30"/>
          <w:lang w:eastAsia="ru-RU"/>
        </w:rPr>
        <w:t>В целях проведения необходимых работ по обновлению парка используемого кассового оборудования МНС и Госстандартом утвержден План мероприятий по внедрению новых требований к кассовому оборудованию по выводу из оборота маркированных товаров.</w:t>
      </w:r>
    </w:p>
    <w:p w14:paraId="470B6B75" w14:textId="1C265115" w:rsidR="00E53A09" w:rsidRDefault="00E53A09" w:rsidP="00E53A09">
      <w:pPr>
        <w:ind w:firstLine="567"/>
        <w:jc w:val="right"/>
        <w:rPr>
          <w:rFonts w:eastAsia="Times New Roman"/>
          <w:color w:val="3C3C3C"/>
          <w:szCs w:val="30"/>
          <w:lang w:eastAsia="ru-RU"/>
        </w:rPr>
      </w:pPr>
    </w:p>
    <w:p w14:paraId="3C5FF55E" w14:textId="77777777" w:rsidR="00E53A09" w:rsidRPr="00B63A71" w:rsidRDefault="00E53A09" w:rsidP="00E53A09">
      <w:pPr>
        <w:jc w:val="right"/>
      </w:pPr>
      <w:r w:rsidRPr="00B63A71">
        <w:t>Пресс-центр инспекции МНС</w:t>
      </w:r>
    </w:p>
    <w:p w14:paraId="4854EE84" w14:textId="77777777" w:rsidR="00E53A09" w:rsidRPr="00B63A71" w:rsidRDefault="00E53A09" w:rsidP="00E53A09">
      <w:pPr>
        <w:jc w:val="right"/>
      </w:pPr>
      <w:r w:rsidRPr="00B63A71">
        <w:t>Республики Беларусь</w:t>
      </w:r>
    </w:p>
    <w:p w14:paraId="7D4F0FD9" w14:textId="77777777" w:rsidR="00E53A09" w:rsidRPr="00B63A71" w:rsidRDefault="00E53A09" w:rsidP="00B63A71">
      <w:pPr>
        <w:jc w:val="right"/>
      </w:pPr>
      <w:r w:rsidRPr="00B63A71">
        <w:t>по Могилевской области</w:t>
      </w:r>
    </w:p>
    <w:sectPr w:rsidR="00E53A0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ED"/>
    <w:rsid w:val="000607D0"/>
    <w:rsid w:val="001A0E42"/>
    <w:rsid w:val="001B4AD1"/>
    <w:rsid w:val="001B5D85"/>
    <w:rsid w:val="001C74DC"/>
    <w:rsid w:val="00390083"/>
    <w:rsid w:val="003C29C1"/>
    <w:rsid w:val="00415CB8"/>
    <w:rsid w:val="00533D64"/>
    <w:rsid w:val="006061E8"/>
    <w:rsid w:val="00625907"/>
    <w:rsid w:val="0094746F"/>
    <w:rsid w:val="00A46AA9"/>
    <w:rsid w:val="00B0773A"/>
    <w:rsid w:val="00BA34ED"/>
    <w:rsid w:val="00E53A09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CE1"/>
  <w15:chartTrackingRefBased/>
  <w15:docId w15:val="{A449FE9A-00AF-4F88-B180-BCB0965F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4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4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34ED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atak.by/news/world/12233/" TargetMode="External"/><Relationship Id="rId5" Type="http://schemas.openxmlformats.org/officeDocument/2006/relationships/hyperlink" Target="https://padatak.by/landing_712_19_decree/" TargetMode="External"/><Relationship Id="rId4" Type="http://schemas.openxmlformats.org/officeDocument/2006/relationships/hyperlink" Target="https://padatak.by/landing_712_19_pereh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Ярмолюк Ирина Геннадьевна</cp:lastModifiedBy>
  <cp:revision>2</cp:revision>
  <dcterms:created xsi:type="dcterms:W3CDTF">2024-04-29T10:29:00Z</dcterms:created>
  <dcterms:modified xsi:type="dcterms:W3CDTF">2024-04-29T10:29:00Z</dcterms:modified>
</cp:coreProperties>
</file>