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6F" w:rsidRDefault="00001E6F" w:rsidP="00001E6F">
      <w:pPr>
        <w:shd w:val="clear" w:color="auto" w:fill="FFFFFF"/>
        <w:spacing w:after="4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332962" w:rsidRDefault="00332962" w:rsidP="00001E6F">
      <w:pPr>
        <w:shd w:val="clear" w:color="auto" w:fill="FFFFFF"/>
        <w:spacing w:after="4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bookmarkStart w:id="0" w:name="_GoBack"/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Период исчисления заработка при назначении пенсии </w:t>
      </w:r>
    </w:p>
    <w:bookmarkEnd w:id="0"/>
    <w:p w:rsidR="00001E6F" w:rsidRPr="00001E6F" w:rsidRDefault="00001E6F" w:rsidP="00001E6F">
      <w:pPr>
        <w:shd w:val="clear" w:color="auto" w:fill="FFFFFF"/>
        <w:spacing w:after="4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332962" w:rsidRPr="00001E6F" w:rsidRDefault="00332962" w:rsidP="00001E6F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 2024 году трудовая пенсия исчисляться из откорректированного фактического заработка, определяемого в соответствии с Законом, за последние 30 лет подряд стажа работы, но не менее чем за фактически имеющийся стаж работы, при этом, указанный период увеличивается ежегодно на один год до фактически имеющегося у лица, обратившегося за пенсией, стажа работы (с 1 января 2024года — за 30 лет;</w:t>
      </w:r>
      <w:proofErr w:type="gramEnd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 1 января 2025 года — за 31 год, с 1 января 2026 года — 32 года и т.д.).</w:t>
      </w:r>
    </w:p>
    <w:p w:rsidR="00332962" w:rsidRPr="00001E6F" w:rsidRDefault="00332962" w:rsidP="00001E6F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Указом Президента Республики Беларусь № 402 "О социальной поддержке" с 1 января 2025 года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фиксируется действующий 30-летний период для расчета ИКЗ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Дальнейшее ежегодное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увеличени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е этого периода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прекращается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"бумажных" справок о заработке. </w:t>
      </w:r>
    </w:p>
    <w:p w:rsidR="00332962" w:rsidRPr="00001E6F" w:rsidRDefault="00332962" w:rsidP="00001E6F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Следует отметить, что кредитные периоды: военная служба в Вооруженных Силах Республики Беларусь; отпуск по уходу за ребенком; уход за детьми до достижения ими возраста 3 лет и т.п. (часть вторая статьи 51 Закона) учитываются при исчислении пенсии при условии, что они не совпадают с периодами работы и иной деятельности с уплатой обязательных страховых взносов в бюджет фонда.</w:t>
      </w:r>
      <w:proofErr w:type="gramEnd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 качестве фактического заработка в расчет принимается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40 процентов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средней заработной платы работников в республике за соответствующие месяцы.</w:t>
      </w:r>
    </w:p>
    <w:p w:rsidR="00332962" w:rsidRPr="00001E6F" w:rsidRDefault="00332962" w:rsidP="00001E6F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Справка о размере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 </w:t>
      </w:r>
    </w:p>
    <w:p w:rsidR="00332962" w:rsidRPr="00001E6F" w:rsidRDefault="00332962" w:rsidP="00001E6F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Указом 402 предусматривается право гражданина не учитывать («пропустить») при расчете ИКЗ  периоды работы, за которые документы не сохранились, с их заменой более ранними периодами, где документы имеются (при выполнении определенных условий). </w:t>
      </w:r>
      <w:proofErr w:type="gramStart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Так, в случаях, когда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 работодателей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не сохранились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документы о фактическом заработке за периоды работы граждан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u w:val="single"/>
          <w:lang w:eastAsia="ru-RU"/>
        </w:rPr>
        <w:t>до  1 января 2003 г.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(кроме случаев, когда документы не сохранились в результате стихийных бедствий, аварий, катастроф или других чрезвычайных ситуаций) и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отсутствуют архивные данные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 этом заработке, время такой работы по желанию граждан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не включается в период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из заработка за который исчисляется пенсия</w:t>
      </w:r>
      <w:proofErr w:type="gramEnd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при условии замены каждого месяца исключаемого периода работы месяцами стажа (работы/иной деятельности), последовательно предшествовавшими 30-летнему периоду стажа работы.</w:t>
      </w:r>
    </w:p>
    <w:p w:rsidR="00332962" w:rsidRPr="00001E6F" w:rsidRDefault="00332962" w:rsidP="00001E6F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Порядок замены заработка, предусмотренный,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не применяется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если фактический стаж работы, за который имеются сведения о заработке, составляет </w:t>
      </w:r>
      <w:r w:rsidRPr="00001E6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30 и менее лет.</w:t>
      </w:r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332962" w:rsidRPr="00001E6F" w:rsidRDefault="00332962" w:rsidP="00001E6F">
      <w:pPr>
        <w:shd w:val="clear" w:color="auto" w:fill="FFFFFF"/>
        <w:spacing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 целях обеспечения соблюдения сроков рассмотрения документов для назначения пенсий (статья 78 Закона), работодателям рекомендуем представлять работников к назначению пенсий не ранее дня возникновения у работников права на пенсию, а также на оперативное представление органам Фонда социальной защиты населения Министерства труда и социальной защиты Республики Беларусь сведений о стаже и заработке застрахованного лица, необходимых для назначения пенсий.</w:t>
      </w:r>
      <w:proofErr w:type="gramEnd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Данные рекомендации вызваны изменениями по определению среднемесячного заработка и индивидуального коэффициента заработка пенсионер</w:t>
      </w:r>
      <w:proofErr w:type="gramStart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а(</w:t>
      </w:r>
      <w:proofErr w:type="gramEnd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статья 57 Закона "О пенсионном обеспечении")поскольку при определении среднемесячного заработка для назначения пенсии в расчёте учитывается заработная плата за месяц, предшествующий месяцу обращения за назначением пенсии. При этом по желанию пенсионера заработок за неполные месяцы (приём на работу, увольнение) может быть учтён как заработок </w:t>
      </w:r>
      <w:proofErr w:type="gramStart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 полные месяцы</w:t>
      </w:r>
      <w:proofErr w:type="gramEnd"/>
      <w:r w:rsidRPr="00001E6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746D5C" w:rsidRPr="00001E6F" w:rsidRDefault="00746D5C" w:rsidP="00001E6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46D5C" w:rsidRPr="0000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62"/>
    <w:rsid w:val="00001E6F"/>
    <w:rsid w:val="00332962"/>
    <w:rsid w:val="0074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962"/>
    <w:rPr>
      <w:b/>
      <w:bCs/>
    </w:rPr>
  </w:style>
  <w:style w:type="paragraph" w:styleId="a4">
    <w:name w:val="Normal (Web)"/>
    <w:basedOn w:val="a"/>
    <w:uiPriority w:val="99"/>
    <w:semiHidden/>
    <w:unhideWhenUsed/>
    <w:rsid w:val="003329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2962"/>
    <w:rPr>
      <w:b/>
      <w:bCs/>
    </w:rPr>
  </w:style>
  <w:style w:type="paragraph" w:styleId="a4">
    <w:name w:val="Normal (Web)"/>
    <w:basedOn w:val="a"/>
    <w:uiPriority w:val="99"/>
    <w:semiHidden/>
    <w:unhideWhenUsed/>
    <w:rsid w:val="003329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Макаревич</cp:lastModifiedBy>
  <cp:revision>3</cp:revision>
  <dcterms:created xsi:type="dcterms:W3CDTF">2025-03-26T07:07:00Z</dcterms:created>
  <dcterms:modified xsi:type="dcterms:W3CDTF">2025-03-26T08:46:00Z</dcterms:modified>
</cp:coreProperties>
</file>