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1EA7" w14:textId="77777777" w:rsidR="00A822FE" w:rsidRPr="00A822FE" w:rsidRDefault="00A822FE" w:rsidP="00A822FE">
      <w:pPr>
        <w:jc w:val="both"/>
        <w:rPr>
          <w:rFonts w:ascii="Times New Roman" w:hAnsi="Times New Roman" w:cs="Times New Roman"/>
          <w:b/>
          <w:bCs/>
          <w:sz w:val="28"/>
          <w:szCs w:val="28"/>
          <w:lang w:val="ru-BY"/>
        </w:rPr>
      </w:pPr>
      <w:r w:rsidRPr="00A822FE">
        <w:rPr>
          <w:rFonts w:ascii="Times New Roman" w:hAnsi="Times New Roman" w:cs="Times New Roman"/>
          <w:b/>
          <w:bCs/>
          <w:sz w:val="28"/>
          <w:szCs w:val="28"/>
          <w:lang w:val="ru-BY"/>
        </w:rPr>
        <w:t>Представление сведений об остатках товаров, подлежащих прослеживаемости</w:t>
      </w:r>
    </w:p>
    <w:p w14:paraId="712B7139"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Инспекция Министерства по налогам и сборам Республики Беларусь (далее – инспекция МНС) по Могилевской области напоминает.</w:t>
      </w:r>
    </w:p>
    <w:p w14:paraId="2AA379F1"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b/>
          <w:bCs/>
          <w:sz w:val="28"/>
          <w:szCs w:val="28"/>
          <w:lang w:val="ru-BY"/>
        </w:rPr>
        <w:t>С 1 октября 2025 года</w:t>
      </w:r>
      <w:r w:rsidRPr="00A822FE">
        <w:rPr>
          <w:rFonts w:ascii="Times New Roman" w:hAnsi="Times New Roman" w:cs="Times New Roman"/>
          <w:sz w:val="28"/>
          <w:szCs w:val="28"/>
          <w:lang w:val="ru-BY"/>
        </w:rPr>
        <w:t> расширяется перечень товаров, сведения об обороте которых являются предметом прослеживаемости, установленный согласно приложению 2 к постановлению Совета Министров Республики Беларусь от 23.04.2021 № 250 «О реализации Указа Президента Республики Беларусь от 29 декабря 2020 г. № 496» (далее – постановление № 250).</w:t>
      </w:r>
    </w:p>
    <w:p w14:paraId="5C89E20C"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Так в данный перечень включены такие товарные группы как: молочная продукция; масло подсолнечное и рапсовое; чай, кофе; майонез и соусы; пшеничная мука и макаронные изделия; крупы и хлопья; кондитерские изделия; обувь; крупная бытовая техника; мелкая бытовая техника; синтетические моющие средства, предназначенные для стирки. Также к прослеживаемым холодильникам и морозильникам дополнительно отнесены товары с кодом ТН ВЭД 8418 29 000 0.</w:t>
      </w:r>
    </w:p>
    <w:p w14:paraId="30B1DBD9"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Постановлением № 250 предусмотрена обязанность представления для включения в программный комплекс «Система прослеживаемости товаров» (далее - ПК СПТ) сведений об имеющихся у субъектов хозяйствования по состоянию на 01.10.2025 остатках товаров в отношении обуви, бытовой техники, средств для стирки, холодильников и морозильников с кодом ТН ВЭД 8418 29 000 0.</w:t>
      </w:r>
    </w:p>
    <w:p w14:paraId="324BE67B"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Такие сведения представляются </w:t>
      </w:r>
      <w:r w:rsidRPr="00A822FE">
        <w:rPr>
          <w:rFonts w:ascii="Times New Roman" w:hAnsi="Times New Roman" w:cs="Times New Roman"/>
          <w:b/>
          <w:bCs/>
          <w:sz w:val="28"/>
          <w:szCs w:val="28"/>
          <w:lang w:val="ru-BY"/>
        </w:rPr>
        <w:t>до 1 февраля 2026, но не позднее начала оборота таких товаров </w:t>
      </w:r>
      <w:r w:rsidRPr="00A822FE">
        <w:rPr>
          <w:rFonts w:ascii="Times New Roman" w:hAnsi="Times New Roman" w:cs="Times New Roman"/>
          <w:i/>
          <w:iCs/>
          <w:sz w:val="28"/>
          <w:szCs w:val="28"/>
          <w:lang w:val="ru-BY"/>
        </w:rPr>
        <w:t>(то есть </w:t>
      </w:r>
      <w:r w:rsidRPr="00A822FE">
        <w:rPr>
          <w:rFonts w:ascii="Times New Roman" w:hAnsi="Times New Roman" w:cs="Times New Roman"/>
          <w:b/>
          <w:bCs/>
          <w:i/>
          <w:iCs/>
          <w:sz w:val="28"/>
          <w:szCs w:val="28"/>
          <w:lang w:val="ru-BY"/>
        </w:rPr>
        <w:t>с 1 октября 2025 года операции, связанные с оборотом остатков указанных товаров, могут осуществляться только после представления сведений об их остатках</w:t>
      </w:r>
      <w:r w:rsidRPr="00A822FE">
        <w:rPr>
          <w:rFonts w:ascii="Times New Roman" w:hAnsi="Times New Roman" w:cs="Times New Roman"/>
          <w:i/>
          <w:iCs/>
          <w:sz w:val="28"/>
          <w:szCs w:val="28"/>
          <w:lang w:val="ru-BY"/>
        </w:rPr>
        <w:t>)</w:t>
      </w:r>
      <w:r w:rsidRPr="00A822FE">
        <w:rPr>
          <w:rFonts w:ascii="Times New Roman" w:hAnsi="Times New Roman" w:cs="Times New Roman"/>
          <w:sz w:val="28"/>
          <w:szCs w:val="28"/>
          <w:lang w:val="ru-BY"/>
        </w:rPr>
        <w:t>.</w:t>
      </w:r>
    </w:p>
    <w:p w14:paraId="24D5BD93" w14:textId="77777777" w:rsidR="00A822FE" w:rsidRPr="00A822FE" w:rsidRDefault="00A822FE" w:rsidP="00A822FE">
      <w:pPr>
        <w:jc w:val="both"/>
        <w:rPr>
          <w:rFonts w:ascii="Times New Roman" w:hAnsi="Times New Roman" w:cs="Times New Roman"/>
          <w:sz w:val="28"/>
          <w:szCs w:val="28"/>
          <w:lang w:val="ru-BY"/>
        </w:rPr>
      </w:pPr>
      <w:proofErr w:type="spellStart"/>
      <w:r w:rsidRPr="00A822FE">
        <w:rPr>
          <w:rFonts w:ascii="Times New Roman" w:hAnsi="Times New Roman" w:cs="Times New Roman"/>
          <w:i/>
          <w:iCs/>
          <w:sz w:val="28"/>
          <w:szCs w:val="28"/>
          <w:lang w:val="ru-BY"/>
        </w:rPr>
        <w:t>Справочно</w:t>
      </w:r>
      <w:proofErr w:type="spellEnd"/>
      <w:r w:rsidRPr="00A822FE">
        <w:rPr>
          <w:rFonts w:ascii="Times New Roman" w:hAnsi="Times New Roman" w:cs="Times New Roman"/>
          <w:i/>
          <w:iCs/>
          <w:sz w:val="28"/>
          <w:szCs w:val="28"/>
          <w:lang w:val="ru-BY"/>
        </w:rPr>
        <w:t>.</w:t>
      </w:r>
    </w:p>
    <w:p w14:paraId="36D66F6B"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Операции, связанные с оборотом товаров (пункт 1 приложения к Указу Президента Республики Беларусь от 29.12.2020 № 496 «О прослеживаемости товаров»):</w:t>
      </w:r>
    </w:p>
    <w:p w14:paraId="5B7D2C7E"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 отгрузка или получение товаров с мест реализации или хранения по договорам купли-продажи, мены, предусматривающим реализацию и (или) передачу товаров на территории Республики Беларусь и (или) иных государств - членов Евразийского экономического союза;</w:t>
      </w:r>
    </w:p>
    <w:p w14:paraId="6C20C8B2"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 xml:space="preserve">- отгрузка и (или) передача или получение товаров по договорам комиссии, поручения и иным аналогичным договорам, хранения, подряда, финансовой аренды (лизинга), коммерческого займа, оказания логистических услуг, </w:t>
      </w:r>
      <w:r w:rsidRPr="00A822FE">
        <w:rPr>
          <w:rFonts w:ascii="Times New Roman" w:hAnsi="Times New Roman" w:cs="Times New Roman"/>
          <w:i/>
          <w:iCs/>
          <w:sz w:val="28"/>
          <w:szCs w:val="28"/>
          <w:lang w:val="ru-BY"/>
        </w:rPr>
        <w:lastRenderedPageBreak/>
        <w:t>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
    <w:p w14:paraId="40C03639"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 использование в производстве и (или) транспортировка товаров (за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
    <w:p w14:paraId="28ECEF5E"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Сведения об остатках товаров субъектами хозяйствования представляются в налоговые органы по месту постановки на учет в виде электронного документа. Подписываются сведения электронной цифровой подписью представителя юридического лица или индивидуального предпринимателя. В случае подписания сведений должностным лицом, не являющимся руководителем субъекта хозяйствования, в инспекцию МНС по месту постановки на учет необходимо представить доверенность на должностное лицо организации, подтверждающую право подачи сведений в налоговые органы.</w:t>
      </w:r>
    </w:p>
    <w:p w14:paraId="24A7A7A4"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Состав сведений об остатках товаров определен подпунктом 1.1 пункта 1 приложения к постановлению Министерства по налогам и сборам Республики Беларусь (далее - МНС) от 03.05.2021 № 19 «О реализации Указа Президента Республики Беларусь от 29 декабря 2020 г. № 496»; структура и формат сведений – постановлением МНС от 03.05.2021 № 15</w:t>
      </w:r>
      <w:r w:rsidRPr="00A822FE">
        <w:rPr>
          <w:rFonts w:ascii="Times New Roman" w:hAnsi="Times New Roman" w:cs="Times New Roman"/>
          <w:b/>
          <w:bCs/>
          <w:sz w:val="28"/>
          <w:szCs w:val="28"/>
          <w:lang w:val="ru-BY"/>
        </w:rPr>
        <w:t> </w:t>
      </w:r>
      <w:r w:rsidRPr="00A822FE">
        <w:rPr>
          <w:rFonts w:ascii="Times New Roman" w:hAnsi="Times New Roman" w:cs="Times New Roman"/>
          <w:sz w:val="28"/>
          <w:szCs w:val="28"/>
          <w:lang w:val="ru-BY"/>
        </w:rPr>
        <w:t>«Об утверждении структуры и формата сведений, передаваемых субъектами хозяйствования и реализующими организациями в Министерство по налогам и сборам» (с учетом изменений, внесенных постановлением МНС от 28.08.2024 № 26).</w:t>
      </w:r>
    </w:p>
    <w:p w14:paraId="4ED704C9"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b/>
          <w:bCs/>
          <w:i/>
          <w:iCs/>
          <w:sz w:val="28"/>
          <w:szCs w:val="28"/>
          <w:lang w:val="ru-BY"/>
        </w:rPr>
        <w:t>Состав сведений:</w:t>
      </w:r>
    </w:p>
    <w:p w14:paraId="29DF746E"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учетный номер плательщика, передавшего сведения;</w:t>
      </w:r>
    </w:p>
    <w:p w14:paraId="7C825887"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наименование юридического лица или фамилия, собственное имя, отчество (если таковое имеется) индивидуального предпринимателя, передавшего сведения;</w:t>
      </w:r>
    </w:p>
    <w:p w14:paraId="2F8B3891"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регистрационный номер и дата передаваемых сведений (дата указывается при каждой передаче любых из сведений, определенных в приложении);</w:t>
      </w:r>
    </w:p>
    <w:p w14:paraId="0B05E088"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регистрационный номер и дата акта инвентаризации;</w:t>
      </w:r>
    </w:p>
    <w:p w14:paraId="7B836A50"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lastRenderedPageBreak/>
        <w:t>код товара на уровне десяти знаков в соответствии с единой Товарной номенклатурой внешнеэкономической деятельности Евразийского экономического союза;</w:t>
      </w:r>
    </w:p>
    <w:p w14:paraId="7B928601"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дополнительный четырехзначный код по классификатору дополнительной таможенной информации согласно приложению 4-1 к постановлению Государственного таможенного комитета Республики Беларусь от 12 февраля 2016 г. № 5 «Об определении классификаторов и особенностей таможенного декларирования»;</w:t>
      </w:r>
    </w:p>
    <w:p w14:paraId="3F2BD9D0"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международный идентификационный номер товара GTIN;</w:t>
      </w:r>
    </w:p>
    <w:p w14:paraId="104FC75F"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наименование товара;</w:t>
      </w:r>
    </w:p>
    <w:p w14:paraId="5FA053F0"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единица измерения, применяемая субъектом хозяйствования для учета товаров;</w:t>
      </w:r>
    </w:p>
    <w:p w14:paraId="24C10285"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количество товаров в единицах измерения, применяемых субъектом хозяйствования для учета товаров;</w:t>
      </w:r>
    </w:p>
    <w:p w14:paraId="1B8A641D"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единица измерения, подлежащая указанию в электронных накладных, установленная постановлением № 250 (далее – унифицированная единица измерения);</w:t>
      </w:r>
    </w:p>
    <w:p w14:paraId="272F5E11"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количество товара в унифицированных единицах измерения;</w:t>
      </w:r>
    </w:p>
    <w:p w14:paraId="5F38681F"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учетная цена за унифицированную единицу измерения;</w:t>
      </w:r>
    </w:p>
    <w:p w14:paraId="11FF6513"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учетная стоимость товаров;</w:t>
      </w:r>
    </w:p>
    <w:p w14:paraId="0DD54E64"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информация о средствах идентификации, нанесенных на товары (в случае, если товар, подлежит маркировке средствами идентификации);</w:t>
      </w:r>
    </w:p>
    <w:p w14:paraId="4B2D068E"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код страны, с территории которой товары ввезены на территорию Республики Беларусь (в отношении товаров, произведенных на территории Республики Беларусь, указывается код Республики Беларусь).</w:t>
      </w:r>
    </w:p>
    <w:p w14:paraId="19614038"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Для передачи сведений субъект хозяйствования должен провести инвентаризацию имеющихся по состоянию на 01.10.2025 остатков товаров, подлежащих прослеживаемости. Инвентаризационная опись составляется в произвольной форме и должна содержать данные, предусмотренные для подачи сведений об остатках.</w:t>
      </w:r>
    </w:p>
    <w:p w14:paraId="42E95486"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Предоставлять сведения можно в целом по субъекту хозяйствования или отдельно по каждому месту хранения (реализации) товаров.</w:t>
      </w:r>
    </w:p>
    <w:p w14:paraId="0C5C6AA8"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Сведения могут быть представлены одним из трех способов:</w:t>
      </w:r>
    </w:p>
    <w:p w14:paraId="50745791"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через личный кабинет плательщика;</w:t>
      </w:r>
    </w:p>
    <w:p w14:paraId="1A5039C8"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lastRenderedPageBreak/>
        <w:t>с использованием специализированного программного обеспечения, разработанного МНС, и размещенного на портале МНС (АРМ «Плательщик»), которое может быть установлено на компьютере плательщика;</w:t>
      </w:r>
    </w:p>
    <w:p w14:paraId="12C57AE9"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sz w:val="28"/>
          <w:szCs w:val="28"/>
          <w:lang w:val="ru-BY"/>
        </w:rPr>
        <w:t>посредством направления на портал МНС </w:t>
      </w:r>
      <w:r w:rsidRPr="00A822FE">
        <w:rPr>
          <w:rFonts w:ascii="Times New Roman" w:hAnsi="Times New Roman" w:cs="Times New Roman"/>
          <w:sz w:val="28"/>
          <w:szCs w:val="28"/>
          <w:lang w:val="en-US"/>
        </w:rPr>
        <w:t>xml</w:t>
      </w:r>
      <w:r w:rsidRPr="00A822FE">
        <w:rPr>
          <w:rFonts w:ascii="Times New Roman" w:hAnsi="Times New Roman" w:cs="Times New Roman"/>
          <w:sz w:val="28"/>
          <w:szCs w:val="28"/>
          <w:lang w:val="ru-BY"/>
        </w:rPr>
        <w:t>-файла, подготовленного автоматизированным способом в учетной бухгалтерской программе либо иной информационной системе плательщика </w:t>
      </w:r>
      <w:r w:rsidRPr="00A822FE">
        <w:rPr>
          <w:rFonts w:ascii="Times New Roman" w:hAnsi="Times New Roman" w:cs="Times New Roman"/>
          <w:i/>
          <w:iCs/>
          <w:sz w:val="28"/>
          <w:szCs w:val="28"/>
          <w:lang w:val="ru-BY"/>
        </w:rPr>
        <w:t>(спецификация открытого API ПК СПТ размещена на интернет-сайте МНС: Актуальное/Прослеживаемость товаров)</w:t>
      </w:r>
      <w:r w:rsidRPr="00A822FE">
        <w:rPr>
          <w:rFonts w:ascii="Times New Roman" w:hAnsi="Times New Roman" w:cs="Times New Roman"/>
          <w:sz w:val="28"/>
          <w:szCs w:val="28"/>
          <w:lang w:val="ru-BY"/>
        </w:rPr>
        <w:t>.</w:t>
      </w:r>
    </w:p>
    <w:p w14:paraId="3D08FA89"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b/>
          <w:bCs/>
          <w:i/>
          <w:iCs/>
          <w:sz w:val="28"/>
          <w:szCs w:val="28"/>
          <w:lang w:val="ru-BY"/>
        </w:rPr>
        <w:t>Алгоритм</w:t>
      </w:r>
      <w:r w:rsidRPr="00A822FE">
        <w:rPr>
          <w:rFonts w:ascii="Times New Roman" w:hAnsi="Times New Roman" w:cs="Times New Roman"/>
          <w:i/>
          <w:iCs/>
          <w:sz w:val="28"/>
          <w:szCs w:val="28"/>
          <w:lang w:val="ru-BY"/>
        </w:rPr>
        <w:t> действий субъектов хозяйствования при представлении сведений об остатках товаров, подлежащих прослеживаемости, </w:t>
      </w:r>
      <w:r w:rsidRPr="00A822FE">
        <w:rPr>
          <w:rFonts w:ascii="Times New Roman" w:hAnsi="Times New Roman" w:cs="Times New Roman"/>
          <w:b/>
          <w:bCs/>
          <w:i/>
          <w:iCs/>
          <w:sz w:val="28"/>
          <w:szCs w:val="28"/>
          <w:lang w:val="ru-BY"/>
        </w:rPr>
        <w:t>через личный кабинет плательщика и с использованием АРМ «Плательщик»</w:t>
      </w:r>
      <w:r w:rsidRPr="00A822FE">
        <w:rPr>
          <w:rFonts w:ascii="Times New Roman" w:hAnsi="Times New Roman" w:cs="Times New Roman"/>
          <w:i/>
          <w:iCs/>
          <w:sz w:val="28"/>
          <w:szCs w:val="28"/>
          <w:lang w:val="ru-BY"/>
        </w:rPr>
        <w:t>, а также </w:t>
      </w:r>
      <w:r w:rsidRPr="00A822FE">
        <w:rPr>
          <w:rFonts w:ascii="Times New Roman" w:hAnsi="Times New Roman" w:cs="Times New Roman"/>
          <w:b/>
          <w:bCs/>
          <w:i/>
          <w:iCs/>
          <w:sz w:val="28"/>
          <w:szCs w:val="28"/>
          <w:lang w:val="ru-BY"/>
        </w:rPr>
        <w:t>видеоролик «Подача сведений об остатках в ПК СПТ»</w:t>
      </w:r>
      <w:r w:rsidRPr="00A822FE">
        <w:rPr>
          <w:rFonts w:ascii="Times New Roman" w:hAnsi="Times New Roman" w:cs="Times New Roman"/>
          <w:i/>
          <w:iCs/>
          <w:sz w:val="28"/>
          <w:szCs w:val="28"/>
          <w:lang w:val="ru-BY"/>
        </w:rPr>
        <w:t> размещены на официальном интернет-сайте МНС </w:t>
      </w:r>
      <w:proofErr w:type="spellStart"/>
      <w:r w:rsidRPr="00A822FE">
        <w:rPr>
          <w:rFonts w:ascii="Times New Roman" w:hAnsi="Times New Roman" w:cs="Times New Roman"/>
          <w:i/>
          <w:iCs/>
          <w:sz w:val="28"/>
          <w:szCs w:val="28"/>
          <w:lang w:val="en-US"/>
        </w:rPr>
        <w:t>nalog</w:t>
      </w:r>
      <w:proofErr w:type="spellEnd"/>
      <w:r w:rsidRPr="00A822FE">
        <w:rPr>
          <w:rFonts w:ascii="Times New Roman" w:hAnsi="Times New Roman" w:cs="Times New Roman"/>
          <w:i/>
          <w:iCs/>
          <w:sz w:val="28"/>
          <w:szCs w:val="28"/>
          <w:lang w:val="ru-BY"/>
        </w:rPr>
        <w:t>.</w:t>
      </w:r>
      <w:r w:rsidRPr="00A822FE">
        <w:rPr>
          <w:rFonts w:ascii="Times New Roman" w:hAnsi="Times New Roman" w:cs="Times New Roman"/>
          <w:i/>
          <w:iCs/>
          <w:sz w:val="28"/>
          <w:szCs w:val="28"/>
          <w:lang w:val="en-US"/>
        </w:rPr>
        <w:t>gov</w:t>
      </w:r>
      <w:r w:rsidRPr="00A822FE">
        <w:rPr>
          <w:rFonts w:ascii="Times New Roman" w:hAnsi="Times New Roman" w:cs="Times New Roman"/>
          <w:i/>
          <w:iCs/>
          <w:sz w:val="28"/>
          <w:szCs w:val="28"/>
          <w:lang w:val="ru-BY"/>
        </w:rPr>
        <w:t>.</w:t>
      </w:r>
      <w:r w:rsidRPr="00A822FE">
        <w:rPr>
          <w:rFonts w:ascii="Times New Roman" w:hAnsi="Times New Roman" w:cs="Times New Roman"/>
          <w:i/>
          <w:iCs/>
          <w:sz w:val="28"/>
          <w:szCs w:val="28"/>
          <w:lang w:val="en-US"/>
        </w:rPr>
        <w:t>by </w:t>
      </w:r>
      <w:r w:rsidRPr="00A822FE">
        <w:rPr>
          <w:rFonts w:ascii="Times New Roman" w:hAnsi="Times New Roman" w:cs="Times New Roman"/>
          <w:i/>
          <w:iCs/>
          <w:sz w:val="28"/>
          <w:szCs w:val="28"/>
          <w:lang w:val="ru-BY"/>
        </w:rPr>
        <w:t>в разделе «Актуальное/Прослеживаемость товаров».</w:t>
      </w:r>
    </w:p>
    <w:p w14:paraId="1C8034F6"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С целью ознакомления с функционалом работы ПК СПТ, в том числе для подачи сведений об остатках товаров, подлежащих прослеживаемости, субъектам хозяйствования предоставлена возможность получения </w:t>
      </w:r>
      <w:r w:rsidRPr="00A822FE">
        <w:rPr>
          <w:rFonts w:ascii="Times New Roman" w:hAnsi="Times New Roman" w:cs="Times New Roman"/>
          <w:b/>
          <w:bCs/>
          <w:i/>
          <w:iCs/>
          <w:sz w:val="28"/>
          <w:szCs w:val="28"/>
          <w:lang w:val="ru-BY"/>
        </w:rPr>
        <w:t>доступа к тестовому личному кабинету плательщика</w:t>
      </w:r>
      <w:r w:rsidRPr="00A822FE">
        <w:rPr>
          <w:rFonts w:ascii="Times New Roman" w:hAnsi="Times New Roman" w:cs="Times New Roman"/>
          <w:i/>
          <w:iCs/>
          <w:sz w:val="28"/>
          <w:szCs w:val="28"/>
          <w:lang w:val="ru-BY"/>
        </w:rPr>
        <w:t>.</w:t>
      </w:r>
    </w:p>
    <w:p w14:paraId="7D7C7703"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Для получения указанного доступа субъекту хозяйствования необходимо:</w:t>
      </w:r>
    </w:p>
    <w:p w14:paraId="2AEEB064"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отправить статические IP-адреса, с которых будет осуществляться подключение к тестовому личному кабинету плательщика, на почтовый адрес </w:t>
      </w:r>
      <w:hyperlink r:id="rId4" w:history="1">
        <w:r w:rsidRPr="00A822FE">
          <w:rPr>
            <w:rStyle w:val="ac"/>
            <w:rFonts w:ascii="Times New Roman" w:hAnsi="Times New Roman" w:cs="Times New Roman"/>
            <w:i/>
            <w:iCs/>
            <w:sz w:val="28"/>
            <w:szCs w:val="28"/>
            <w:lang w:val="ru-BY"/>
          </w:rPr>
          <w:t>mns_support@nalog.gov.by</w:t>
        </w:r>
      </w:hyperlink>
      <w:r w:rsidRPr="00A822FE">
        <w:rPr>
          <w:rFonts w:ascii="Times New Roman" w:hAnsi="Times New Roman" w:cs="Times New Roman"/>
          <w:i/>
          <w:iCs/>
          <w:sz w:val="28"/>
          <w:szCs w:val="28"/>
          <w:lang w:val="ru-BY"/>
        </w:rPr>
        <w:t>, УНП и наименование плательщика;</w:t>
      </w:r>
    </w:p>
    <w:p w14:paraId="21F1C160"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иметь электронную цифровую подпись представителя юридического лица, изданную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52943992" w14:textId="77777777" w:rsidR="00A822FE" w:rsidRPr="00A822FE" w:rsidRDefault="00A822FE" w:rsidP="00A822FE">
      <w:pPr>
        <w:jc w:val="both"/>
        <w:rPr>
          <w:rFonts w:ascii="Times New Roman" w:hAnsi="Times New Roman" w:cs="Times New Roman"/>
          <w:sz w:val="28"/>
          <w:szCs w:val="28"/>
          <w:lang w:val="ru-BY"/>
        </w:rPr>
      </w:pPr>
      <w:r w:rsidRPr="00A822FE">
        <w:rPr>
          <w:rFonts w:ascii="Times New Roman" w:hAnsi="Times New Roman" w:cs="Times New Roman"/>
          <w:i/>
          <w:iCs/>
          <w:sz w:val="28"/>
          <w:szCs w:val="28"/>
          <w:lang w:val="ru-BY"/>
        </w:rPr>
        <w:t>Ссылки на доступ к тестовому стенду системы прослеживаемости товаров будут направлены субъекту хозяйствования после представления сведений об IP-адресах, с которых субъектом хозяйствования будет осуществляться подключение к тестовому личному кабинету плательщика.</w:t>
      </w:r>
    </w:p>
    <w:p w14:paraId="615B3277" w14:textId="77777777" w:rsidR="00AA0986" w:rsidRPr="00A822FE" w:rsidRDefault="00AA0986" w:rsidP="00A822FE">
      <w:pPr>
        <w:jc w:val="both"/>
        <w:rPr>
          <w:rFonts w:ascii="Times New Roman" w:hAnsi="Times New Roman" w:cs="Times New Roman"/>
          <w:sz w:val="28"/>
          <w:szCs w:val="28"/>
          <w:lang w:val="ru-BY"/>
        </w:rPr>
      </w:pPr>
    </w:p>
    <w:sectPr w:rsidR="00AA0986" w:rsidRPr="00A82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FE"/>
    <w:rsid w:val="0011368C"/>
    <w:rsid w:val="001D626E"/>
    <w:rsid w:val="00304736"/>
    <w:rsid w:val="0072300B"/>
    <w:rsid w:val="00913690"/>
    <w:rsid w:val="00A61A0B"/>
    <w:rsid w:val="00A822FE"/>
    <w:rsid w:val="00AA0986"/>
    <w:rsid w:val="00DE1515"/>
    <w:rsid w:val="00E51BFB"/>
    <w:rsid w:val="00F3678E"/>
    <w:rsid w:val="00F75EB8"/>
    <w:rsid w:val="00FA001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A4DC"/>
  <w15:chartTrackingRefBased/>
  <w15:docId w15:val="{41B634E8-B86B-4AD7-86A1-61AE0F93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2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22F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22F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22F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22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22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22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22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2F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22F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22F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22F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22F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22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22FE"/>
    <w:rPr>
      <w:rFonts w:eastAsiaTheme="majorEastAsia" w:cstheme="majorBidi"/>
      <w:color w:val="595959" w:themeColor="text1" w:themeTint="A6"/>
    </w:rPr>
  </w:style>
  <w:style w:type="character" w:customStyle="1" w:styleId="80">
    <w:name w:val="Заголовок 8 Знак"/>
    <w:basedOn w:val="a0"/>
    <w:link w:val="8"/>
    <w:uiPriority w:val="9"/>
    <w:semiHidden/>
    <w:rsid w:val="00A822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22FE"/>
    <w:rPr>
      <w:rFonts w:eastAsiaTheme="majorEastAsia" w:cstheme="majorBidi"/>
      <w:color w:val="272727" w:themeColor="text1" w:themeTint="D8"/>
    </w:rPr>
  </w:style>
  <w:style w:type="paragraph" w:styleId="a3">
    <w:name w:val="Title"/>
    <w:basedOn w:val="a"/>
    <w:next w:val="a"/>
    <w:link w:val="a4"/>
    <w:uiPriority w:val="10"/>
    <w:qFormat/>
    <w:rsid w:val="00A8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2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2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22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22FE"/>
    <w:pPr>
      <w:spacing w:before="160"/>
      <w:jc w:val="center"/>
    </w:pPr>
    <w:rPr>
      <w:i/>
      <w:iCs/>
      <w:color w:val="404040" w:themeColor="text1" w:themeTint="BF"/>
    </w:rPr>
  </w:style>
  <w:style w:type="character" w:customStyle="1" w:styleId="22">
    <w:name w:val="Цитата 2 Знак"/>
    <w:basedOn w:val="a0"/>
    <w:link w:val="21"/>
    <w:uiPriority w:val="29"/>
    <w:rsid w:val="00A822FE"/>
    <w:rPr>
      <w:i/>
      <w:iCs/>
      <w:color w:val="404040" w:themeColor="text1" w:themeTint="BF"/>
    </w:rPr>
  </w:style>
  <w:style w:type="paragraph" w:styleId="a7">
    <w:name w:val="List Paragraph"/>
    <w:basedOn w:val="a"/>
    <w:uiPriority w:val="34"/>
    <w:qFormat/>
    <w:rsid w:val="00A822FE"/>
    <w:pPr>
      <w:ind w:left="720"/>
      <w:contextualSpacing/>
    </w:pPr>
  </w:style>
  <w:style w:type="character" w:styleId="a8">
    <w:name w:val="Intense Emphasis"/>
    <w:basedOn w:val="a0"/>
    <w:uiPriority w:val="21"/>
    <w:qFormat/>
    <w:rsid w:val="00A822FE"/>
    <w:rPr>
      <w:i/>
      <w:iCs/>
      <w:color w:val="2F5496" w:themeColor="accent1" w:themeShade="BF"/>
    </w:rPr>
  </w:style>
  <w:style w:type="paragraph" w:styleId="a9">
    <w:name w:val="Intense Quote"/>
    <w:basedOn w:val="a"/>
    <w:next w:val="a"/>
    <w:link w:val="aa"/>
    <w:uiPriority w:val="30"/>
    <w:qFormat/>
    <w:rsid w:val="00A8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22FE"/>
    <w:rPr>
      <w:i/>
      <w:iCs/>
      <w:color w:val="2F5496" w:themeColor="accent1" w:themeShade="BF"/>
    </w:rPr>
  </w:style>
  <w:style w:type="character" w:styleId="ab">
    <w:name w:val="Intense Reference"/>
    <w:basedOn w:val="a0"/>
    <w:uiPriority w:val="32"/>
    <w:qFormat/>
    <w:rsid w:val="00A822FE"/>
    <w:rPr>
      <w:b/>
      <w:bCs/>
      <w:smallCaps/>
      <w:color w:val="2F5496" w:themeColor="accent1" w:themeShade="BF"/>
      <w:spacing w:val="5"/>
    </w:rPr>
  </w:style>
  <w:style w:type="character" w:styleId="ac">
    <w:name w:val="Hyperlink"/>
    <w:basedOn w:val="a0"/>
    <w:uiPriority w:val="99"/>
    <w:unhideWhenUsed/>
    <w:rsid w:val="00A822FE"/>
    <w:rPr>
      <w:color w:val="0563C1" w:themeColor="hyperlink"/>
      <w:u w:val="single"/>
    </w:rPr>
  </w:style>
  <w:style w:type="character" w:styleId="ad">
    <w:name w:val="Unresolved Mention"/>
    <w:basedOn w:val="a0"/>
    <w:uiPriority w:val="99"/>
    <w:semiHidden/>
    <w:unhideWhenUsed/>
    <w:rsid w:val="00A82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ns_support@nalog.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Радькова Галина Дмитриевна</dc:creator>
  <cp:keywords/>
  <dc:description/>
  <cp:lastModifiedBy>Радькова Галина Дмитриевна</cp:lastModifiedBy>
  <cp:revision>1</cp:revision>
  <dcterms:created xsi:type="dcterms:W3CDTF">2025-09-25T11:35:00Z</dcterms:created>
  <dcterms:modified xsi:type="dcterms:W3CDTF">2025-09-25T11:35:00Z</dcterms:modified>
</cp:coreProperties>
</file>