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39A99" w14:textId="77777777" w:rsidR="00AC5EC9" w:rsidRPr="00AC5EC9" w:rsidRDefault="00AC5EC9" w:rsidP="00AC5EC9">
      <w:pPr>
        <w:pBdr>
          <w:bottom w:val="single" w:sz="48" w:space="12" w:color="00654D"/>
        </w:pBdr>
        <w:spacing w:after="300" w:line="240" w:lineRule="auto"/>
        <w:outlineLvl w:val="3"/>
        <w:rPr>
          <w:rFonts w:ascii="Open Sans" w:eastAsia="Times New Roman" w:hAnsi="Open Sans" w:cs="Open Sans"/>
          <w:b/>
          <w:bCs/>
          <w:color w:val="1A1A1A"/>
          <w:sz w:val="30"/>
          <w:szCs w:val="30"/>
          <w:lang w:eastAsia="ru-RU"/>
        </w:rPr>
      </w:pPr>
      <w:bookmarkStart w:id="0" w:name="_GoBack"/>
      <w:bookmarkEnd w:id="0"/>
      <w:r w:rsidRPr="00AC5EC9">
        <w:rPr>
          <w:rFonts w:ascii="Open Sans" w:eastAsia="Times New Roman" w:hAnsi="Open Sans" w:cs="Open Sans"/>
          <w:b/>
          <w:bCs/>
          <w:color w:val="1A1A1A"/>
          <w:sz w:val="30"/>
          <w:szCs w:val="30"/>
          <w:lang w:eastAsia="ru-RU"/>
        </w:rPr>
        <w:t>Налогообложения доходов от совершения операций с цифровыми знаками (токенами)</w:t>
      </w:r>
    </w:p>
    <w:p w14:paraId="668EBC6B" w14:textId="77777777" w:rsidR="00AC5EC9" w:rsidRPr="00AC5EC9" w:rsidRDefault="00AC5EC9" w:rsidP="00AC5E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Декретом Президента Республики Беларусь от 21.12.2017 № 8 «О развитии цифровой экономики» (далее – Декрет № 8) предусмотрено, что физические лица вправе владеть токенами и с учетом особенностей, установленных Декретом № 8, совершать следующие операции:</w:t>
      </w:r>
    </w:p>
    <w:p w14:paraId="0CDF30BD" w14:textId="77777777" w:rsidR="00AC5EC9" w:rsidRPr="00AC5EC9" w:rsidRDefault="00AC5EC9" w:rsidP="00AC5EC9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майнинг,</w:t>
      </w:r>
    </w:p>
    <w:p w14:paraId="695D6A4C" w14:textId="77777777" w:rsidR="00AC5EC9" w:rsidRPr="00AC5EC9" w:rsidRDefault="00AC5EC9" w:rsidP="00AC5EC9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хранение токенов в виртуальных кошельках,</w:t>
      </w:r>
    </w:p>
    <w:p w14:paraId="3FC3C2D2" w14:textId="77777777" w:rsidR="00AC5EC9" w:rsidRPr="00AC5EC9" w:rsidRDefault="00AC5EC9" w:rsidP="00AC5EC9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обмен токенов на иные токены, их приобретение, отчуждение за белорусские рубли, иностранную валюту, электронные деньги,</w:t>
      </w:r>
    </w:p>
    <w:p w14:paraId="5415CAA1" w14:textId="77777777" w:rsidR="00AC5EC9" w:rsidRPr="00AC5EC9" w:rsidRDefault="00AC5EC9" w:rsidP="00AC5EC9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дарить и завещать токены.</w:t>
      </w:r>
    </w:p>
    <w:p w14:paraId="630B623F" w14:textId="77777777" w:rsidR="00AC5EC9" w:rsidRPr="00AC5EC9" w:rsidRDefault="00AC5EC9" w:rsidP="00AC5E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Индивидуальные предприниматели - резиденты Парка высоких технологий помимо вышеуказанных правомочий вправе:</w:t>
      </w:r>
    </w:p>
    <w:p w14:paraId="46C4E9F8" w14:textId="77777777" w:rsidR="00AC5EC9" w:rsidRPr="00AC5EC9" w:rsidRDefault="00AC5EC9" w:rsidP="00AC5EC9">
      <w:pPr>
        <w:numPr>
          <w:ilvl w:val="0"/>
          <w:numId w:val="6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через резидента Парка высоких технологий, осуществляющего соответствующий вид деятельности, создавать и размещать собственные токены в Республике Беларусь и за рубежом;</w:t>
      </w:r>
    </w:p>
    <w:p w14:paraId="0B50BC31" w14:textId="77777777" w:rsidR="00AC5EC9" w:rsidRPr="00AC5EC9" w:rsidRDefault="00AC5EC9" w:rsidP="00AC5EC9">
      <w:pPr>
        <w:numPr>
          <w:ilvl w:val="0"/>
          <w:numId w:val="6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осуществлять иную деятельность с использованием токенов в порядке, установленном Положением о Парке высоких технологий, утвержденным Декретом Президента Республики Беларусь от 22.09.2005 № 12.</w:t>
      </w:r>
    </w:p>
    <w:p w14:paraId="33506943" w14:textId="77777777" w:rsidR="00AC5EC9" w:rsidRPr="00AC5EC9" w:rsidRDefault="00AC5EC9" w:rsidP="00AC5E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Указом Президента Республики Беларусь от 17.09.2024 № 367 «Об обращении цифровых знаков (токенов)» (далее – Указ № 367), вступившим в силу 20 сентября 2024 года, установлено, что в отношении вышеуказанных сделок (операций) с токенами физические лица, в том числе индивидуальные предприниматели - резиденты Парка высоких технологий:</w:t>
      </w:r>
    </w:p>
    <w:p w14:paraId="2EE2F16E" w14:textId="77777777" w:rsidR="00AC5EC9" w:rsidRPr="00AC5EC9" w:rsidRDefault="00AC5EC9" w:rsidP="00AC5EC9">
      <w:pPr>
        <w:numPr>
          <w:ilvl w:val="0"/>
          <w:numId w:val="7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в целях инициирования совершения сделок (операций) по приобретению токенов передают, перечисляют (переводят) белорусские рубли, иностранную валюту, электронные деньги </w:t>
      </w:r>
      <w:r w:rsidRPr="00AC5EC9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исключительно операторам</w:t>
      </w: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 </w:t>
      </w:r>
      <w:proofErr w:type="spellStart"/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криптоплатформ</w:t>
      </w:r>
      <w:proofErr w:type="spellEnd"/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 xml:space="preserve">, операторам обмена </w:t>
      </w:r>
      <w:proofErr w:type="spellStart"/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криптовалют</w:t>
      </w:r>
      <w:proofErr w:type="spellEnd"/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, иным резидентам Парка высоких технологий, осуществляющим соответствующий вид деятельности (далее – операторы);</w:t>
      </w:r>
    </w:p>
    <w:p w14:paraId="5354C461" w14:textId="77777777" w:rsidR="00AC5EC9" w:rsidRPr="00AC5EC9" w:rsidRDefault="00AC5EC9" w:rsidP="00AC5EC9">
      <w:pPr>
        <w:numPr>
          <w:ilvl w:val="0"/>
          <w:numId w:val="7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получают белорусские рубли, иностранную валюту, электронные деньги от совершения сделок (операций) по отчуждению токенов </w:t>
      </w:r>
      <w:r w:rsidRPr="00AC5EC9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исключительно от операторов</w:t>
      </w: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;</w:t>
      </w:r>
    </w:p>
    <w:p w14:paraId="75FE98A6" w14:textId="77777777" w:rsidR="00AC5EC9" w:rsidRPr="00AC5EC9" w:rsidRDefault="00AC5EC9" w:rsidP="00AC5EC9">
      <w:pPr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Перечисление (перевод) физическим лицам, в том числе индивидуальным предпринимателям - резидентам Парка высоких технологий, белорусских рублей, иностранной валюты, электронных денег, полученных от совершения ими сделок (операций) по отчуждению токенов, допускается </w:t>
      </w:r>
      <w:r w:rsidRPr="00AC5EC9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исключительно операторами</w:t>
      </w: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.</w:t>
      </w:r>
    </w:p>
    <w:p w14:paraId="43330939" w14:textId="77777777" w:rsidR="00AC5EC9" w:rsidRPr="00AC5EC9" w:rsidRDefault="00AC5EC9" w:rsidP="00AC5EC9">
      <w:pPr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Справочно.</w:t>
      </w:r>
    </w:p>
    <w:p w14:paraId="17F59F5C" w14:textId="77777777" w:rsidR="00AC5EC9" w:rsidRPr="00AC5EC9" w:rsidRDefault="00AC5EC9" w:rsidP="00AC5EC9">
      <w:pPr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Оператор </w:t>
      </w:r>
      <w:proofErr w:type="spellStart"/>
      <w:r w:rsidRPr="00AC5EC9">
        <w:rPr>
          <w:rFonts w:ascii="Open Sans" w:eastAsia="Times New Roman" w:hAnsi="Open Sans" w:cs="Open Sans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криптоплатформы</w:t>
      </w:r>
      <w:proofErr w:type="spellEnd"/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 - резидент Парка высоких технологий, предоставляющий с использованием информационной системы физическим и (или) юридическим лицам, в том числе нерезидентам Республики Беларусь, </w:t>
      </w:r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lastRenderedPageBreak/>
        <w:t xml:space="preserve">возможность совершения между собой и (или) с оператором </w:t>
      </w:r>
      <w:proofErr w:type="spellStart"/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криптоплатформы</w:t>
      </w:r>
      <w:proofErr w:type="spellEnd"/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следующих сделок (операций):</w:t>
      </w:r>
    </w:p>
    <w:p w14:paraId="44EF431F" w14:textId="77777777" w:rsidR="00AC5EC9" w:rsidRPr="00AC5EC9" w:rsidRDefault="00AC5EC9" w:rsidP="00AC5EC9">
      <w:pPr>
        <w:numPr>
          <w:ilvl w:val="0"/>
          <w:numId w:val="8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отчуждение, приобретение цифровых знаков (токенов) за белорусские рубли, иностранную валюту, электронные деньги;</w:t>
      </w:r>
    </w:p>
    <w:p w14:paraId="29EEC6AB" w14:textId="77777777" w:rsidR="00AC5EC9" w:rsidRPr="00AC5EC9" w:rsidRDefault="00AC5EC9" w:rsidP="00AC5EC9">
      <w:pPr>
        <w:numPr>
          <w:ilvl w:val="0"/>
          <w:numId w:val="8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обмен цифровых знаков (токенов) одного вида на цифровые знаки (токены) другого вида;</w:t>
      </w:r>
    </w:p>
    <w:p w14:paraId="48484FC2" w14:textId="77777777" w:rsidR="00AC5EC9" w:rsidRPr="00AC5EC9" w:rsidRDefault="00AC5EC9" w:rsidP="00AC5EC9">
      <w:pPr>
        <w:numPr>
          <w:ilvl w:val="0"/>
          <w:numId w:val="8"/>
        </w:numPr>
        <w:spacing w:after="0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иных сделок (операций) в соответствии с требованиями Декрета № 8.</w:t>
      </w:r>
    </w:p>
    <w:p w14:paraId="1928A3D0" w14:textId="77777777" w:rsidR="00AC5EC9" w:rsidRPr="00AC5EC9" w:rsidRDefault="00AC5EC9" w:rsidP="00AC5EC9">
      <w:pPr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Оператор обмена криптовалют</w:t>
      </w:r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- резидент Парка высоких технологий, осуществляющий с использованием информационных систем и (или) программно-технических комплексов, работающих в режиме самообслуживания (</w:t>
      </w:r>
      <w:proofErr w:type="spellStart"/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криптоматов</w:t>
      </w:r>
      <w:proofErr w:type="spellEnd"/>
      <w:r w:rsidRPr="00AC5EC9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), от собственного имени и в своем интересе обмен цифровых знаков (токенов) одного вида на цифровые знаки (токены) другого вида, их покупку и продажу за белорусские рубли, иностранную валюту, электронные деньги.</w:t>
      </w:r>
    </w:p>
    <w:p w14:paraId="47213057" w14:textId="77777777" w:rsidR="00AC5EC9" w:rsidRPr="00AC5EC9" w:rsidRDefault="00AC5EC9" w:rsidP="00AC5EC9">
      <w:pPr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Совершение сделок (операций) с токенами с нарушением требований, установленных в Указе № 367, </w:t>
      </w:r>
      <w:r w:rsidRPr="00AC5EC9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является незаконным и запрещается.</w:t>
      </w:r>
    </w:p>
    <w:p w14:paraId="5F4841E9" w14:textId="77777777" w:rsidR="00AC5EC9" w:rsidRPr="00AC5EC9" w:rsidRDefault="00AC5EC9" w:rsidP="00AC5E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Совету Министров Республики Беларусь совместно с заинтересованными государственными органами поручено до 1 июня 2025 г. обеспечить внесение в установленном порядке предложений по установлению административной ответственности за нарушение требований Указа № 367.</w:t>
      </w:r>
    </w:p>
    <w:p w14:paraId="72156C58" w14:textId="77777777" w:rsidR="00AC5EC9" w:rsidRPr="00AC5EC9" w:rsidRDefault="00AC5EC9" w:rsidP="00AC5EC9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</w:pPr>
      <w:r w:rsidRPr="00AC5EC9">
        <w:rPr>
          <w:rFonts w:ascii="Open Sans" w:eastAsia="Times New Roman" w:hAnsi="Open Sans" w:cs="Open Sans"/>
          <w:color w:val="1A1A1A"/>
          <w:sz w:val="24"/>
          <w:szCs w:val="24"/>
          <w:lang w:eastAsia="ru-RU"/>
        </w:rPr>
        <w:t>Учитывая изложенное, лицам, осуществляющим деятельность в сфере обращения цифровых знаков (токенов), следует учесть предусмотренные Указом № 367 новшества уже сейчас, чтобы избежать привлечения к административной ответственности, которая неотвратимо наступит за нарушения данного законодательного акта в будущем.</w:t>
      </w:r>
    </w:p>
    <w:p w14:paraId="4DF8FE58" w14:textId="77777777" w:rsidR="00724774" w:rsidRPr="00AC5EC9" w:rsidRDefault="00724774" w:rsidP="00AC5EC9"/>
    <w:sectPr w:rsidR="00724774" w:rsidRPr="00AC5EC9" w:rsidSect="00C9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D1A"/>
    <w:multiLevelType w:val="multilevel"/>
    <w:tmpl w:val="87F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B512B"/>
    <w:multiLevelType w:val="multilevel"/>
    <w:tmpl w:val="3490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F6D9D"/>
    <w:multiLevelType w:val="multilevel"/>
    <w:tmpl w:val="F80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969B1"/>
    <w:multiLevelType w:val="multilevel"/>
    <w:tmpl w:val="0DC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37DCB"/>
    <w:multiLevelType w:val="multilevel"/>
    <w:tmpl w:val="6BB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65A72"/>
    <w:multiLevelType w:val="multilevel"/>
    <w:tmpl w:val="3ED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37B24"/>
    <w:multiLevelType w:val="multilevel"/>
    <w:tmpl w:val="F15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87C55"/>
    <w:multiLevelType w:val="multilevel"/>
    <w:tmpl w:val="4526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7D"/>
    <w:rsid w:val="00415D7D"/>
    <w:rsid w:val="00552325"/>
    <w:rsid w:val="00724774"/>
    <w:rsid w:val="00AC5EC9"/>
    <w:rsid w:val="00C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Елена Владимировна</dc:creator>
  <cp:lastModifiedBy>Ярмолюк Ирина Геннадьевна</cp:lastModifiedBy>
  <cp:revision>2</cp:revision>
  <cp:lastPrinted>2025-03-07T11:26:00Z</cp:lastPrinted>
  <dcterms:created xsi:type="dcterms:W3CDTF">2025-03-07T11:27:00Z</dcterms:created>
  <dcterms:modified xsi:type="dcterms:W3CDTF">2025-03-07T11:27:00Z</dcterms:modified>
</cp:coreProperties>
</file>