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65F" w:rsidRPr="0092265F" w:rsidRDefault="0092265F" w:rsidP="0092265F">
      <w:pPr>
        <w:jc w:val="both"/>
        <w:rPr>
          <w:rFonts w:ascii="Times New Roman" w:hAnsi="Times New Roman" w:cs="Times New Roman"/>
          <w:b/>
          <w:bCs/>
          <w:sz w:val="28"/>
          <w:szCs w:val="28"/>
        </w:rPr>
      </w:pPr>
      <w:r w:rsidRPr="0092265F">
        <w:rPr>
          <w:rFonts w:ascii="Times New Roman" w:hAnsi="Times New Roman" w:cs="Times New Roman"/>
          <w:b/>
          <w:bCs/>
          <w:sz w:val="28"/>
          <w:szCs w:val="28"/>
        </w:rPr>
        <w:t xml:space="preserve">Комментарий к Закону Республики Беларусь «Об изменении </w:t>
      </w:r>
      <w:proofErr w:type="gramStart"/>
      <w:r w:rsidRPr="0092265F">
        <w:rPr>
          <w:rFonts w:ascii="Times New Roman" w:hAnsi="Times New Roman" w:cs="Times New Roman"/>
          <w:b/>
          <w:bCs/>
          <w:sz w:val="28"/>
          <w:szCs w:val="28"/>
        </w:rPr>
        <w:t>законов по вопросам</w:t>
      </w:r>
      <w:proofErr w:type="gramEnd"/>
      <w:r w:rsidRPr="0092265F">
        <w:rPr>
          <w:rFonts w:ascii="Times New Roman" w:hAnsi="Times New Roman" w:cs="Times New Roman"/>
          <w:b/>
          <w:bCs/>
          <w:sz w:val="28"/>
          <w:szCs w:val="28"/>
        </w:rPr>
        <w:t xml:space="preserve"> налоговых правоотношений» (в части применения главы 11 «</w:t>
      </w:r>
      <w:bookmarkStart w:id="0" w:name="_GoBack"/>
      <w:r w:rsidRPr="0092265F">
        <w:rPr>
          <w:rFonts w:ascii="Times New Roman" w:hAnsi="Times New Roman" w:cs="Times New Roman"/>
          <w:b/>
          <w:bCs/>
          <w:sz w:val="28"/>
          <w:szCs w:val="28"/>
        </w:rPr>
        <w:t>Принципы определения цены на товары (работы, услуги)</w:t>
      </w:r>
      <w:bookmarkEnd w:id="0"/>
      <w:r w:rsidRPr="0092265F">
        <w:rPr>
          <w:rFonts w:ascii="Times New Roman" w:hAnsi="Times New Roman" w:cs="Times New Roman"/>
          <w:b/>
          <w:bCs/>
          <w:sz w:val="28"/>
          <w:szCs w:val="28"/>
        </w:rPr>
        <w:t>, имущественные права для целей налогообложения»)</w:t>
      </w:r>
    </w:p>
    <w:p w:rsidR="0092265F" w:rsidRPr="0092265F" w:rsidRDefault="0092265F" w:rsidP="0092265F">
      <w:pPr>
        <w:jc w:val="both"/>
        <w:rPr>
          <w:rFonts w:ascii="Times New Roman" w:hAnsi="Times New Roman" w:cs="Times New Roman"/>
          <w:sz w:val="28"/>
          <w:szCs w:val="28"/>
        </w:rPr>
      </w:pPr>
      <w:r w:rsidRPr="0092265F">
        <w:rPr>
          <w:rFonts w:ascii="Times New Roman" w:hAnsi="Times New Roman" w:cs="Times New Roman"/>
          <w:sz w:val="28"/>
          <w:szCs w:val="28"/>
        </w:rPr>
        <w:t>С 2026 года перечень сделок, не подлежащих контролю соответствия рыночным ценам, дополнен сделками по размещению облигаций (путем проведения открытой продажи), выплата дохода по которым осуществляется в размере, установленном в проспекте эмиссии (п. 5 ст. 88 Налогового кодекса Республики Беларусь, далее – НК).</w:t>
      </w:r>
    </w:p>
    <w:p w:rsidR="0092265F" w:rsidRPr="0092265F" w:rsidRDefault="0092265F" w:rsidP="0092265F">
      <w:pPr>
        <w:jc w:val="both"/>
        <w:rPr>
          <w:rFonts w:ascii="Times New Roman" w:hAnsi="Times New Roman" w:cs="Times New Roman"/>
          <w:sz w:val="28"/>
          <w:szCs w:val="28"/>
        </w:rPr>
      </w:pPr>
      <w:r w:rsidRPr="0092265F">
        <w:rPr>
          <w:rFonts w:ascii="Times New Roman" w:hAnsi="Times New Roman" w:cs="Times New Roman"/>
          <w:sz w:val="28"/>
          <w:szCs w:val="28"/>
        </w:rPr>
        <w:t xml:space="preserve">В отношении сделок, не подлежащих контролю на предмет трансфертного ценообразования, также закреплено отсутствие обязанности плательщиков </w:t>
      </w:r>
      <w:proofErr w:type="gramStart"/>
      <w:r w:rsidRPr="0092265F">
        <w:rPr>
          <w:rFonts w:ascii="Times New Roman" w:hAnsi="Times New Roman" w:cs="Times New Roman"/>
          <w:sz w:val="28"/>
          <w:szCs w:val="28"/>
        </w:rPr>
        <w:t>информировать</w:t>
      </w:r>
      <w:proofErr w:type="gramEnd"/>
      <w:r w:rsidRPr="0092265F">
        <w:rPr>
          <w:rFonts w:ascii="Times New Roman" w:hAnsi="Times New Roman" w:cs="Times New Roman"/>
          <w:sz w:val="28"/>
          <w:szCs w:val="28"/>
        </w:rPr>
        <w:t xml:space="preserve"> налоговый орган о совершении таких сделок (п. 1 ст. 97 НК).</w:t>
      </w:r>
    </w:p>
    <w:p w:rsidR="0092265F" w:rsidRPr="0092265F" w:rsidRDefault="0092265F" w:rsidP="0092265F">
      <w:pPr>
        <w:jc w:val="both"/>
        <w:rPr>
          <w:rFonts w:ascii="Times New Roman" w:hAnsi="Times New Roman" w:cs="Times New Roman"/>
          <w:sz w:val="28"/>
          <w:szCs w:val="28"/>
        </w:rPr>
      </w:pPr>
      <w:proofErr w:type="gramStart"/>
      <w:r w:rsidRPr="0092265F">
        <w:rPr>
          <w:rFonts w:ascii="Times New Roman" w:hAnsi="Times New Roman" w:cs="Times New Roman"/>
          <w:sz w:val="28"/>
          <w:szCs w:val="28"/>
        </w:rPr>
        <w:t>Статья 92 НК дополнена пунктом 4</w:t>
      </w:r>
      <w:r w:rsidRPr="0092265F">
        <w:rPr>
          <w:rFonts w:ascii="Times New Roman" w:hAnsi="Times New Roman" w:cs="Times New Roman"/>
          <w:sz w:val="28"/>
          <w:szCs w:val="28"/>
          <w:vertAlign w:val="superscript"/>
        </w:rPr>
        <w:t>2</w:t>
      </w:r>
      <w:r w:rsidRPr="0092265F">
        <w:rPr>
          <w:rFonts w:ascii="Times New Roman" w:hAnsi="Times New Roman" w:cs="Times New Roman"/>
          <w:sz w:val="28"/>
          <w:szCs w:val="28"/>
        </w:rPr>
        <w:t>, в соответствии с которым для определения рыночной цены процентов по займам, срок возврата по которым договором не установлен или определен моментом востребования, минимальным значением диапазона рыночных цен признаются следующие соответствующие ставки процентов, уменьшенные на 20 процентов, а максимальным значением диапазона рыночных цен признаются такие ставки процентов, увеличенные на 20 процентов:</w:t>
      </w:r>
      <w:proofErr w:type="gramEnd"/>
    </w:p>
    <w:p w:rsidR="0092265F" w:rsidRPr="0092265F" w:rsidRDefault="0092265F" w:rsidP="0092265F">
      <w:pPr>
        <w:jc w:val="both"/>
        <w:rPr>
          <w:rFonts w:ascii="Times New Roman" w:hAnsi="Times New Roman" w:cs="Times New Roman"/>
          <w:sz w:val="28"/>
          <w:szCs w:val="28"/>
        </w:rPr>
      </w:pPr>
      <w:r w:rsidRPr="0092265F">
        <w:rPr>
          <w:rFonts w:ascii="Times New Roman" w:hAnsi="Times New Roman" w:cs="Times New Roman"/>
          <w:sz w:val="28"/>
          <w:szCs w:val="28"/>
        </w:rPr>
        <w:t>RUONIA (овернайт) – для займа в российских рублях;</w:t>
      </w:r>
    </w:p>
    <w:p w:rsidR="0092265F" w:rsidRPr="0092265F" w:rsidRDefault="0092265F" w:rsidP="0092265F">
      <w:pPr>
        <w:jc w:val="both"/>
        <w:rPr>
          <w:rFonts w:ascii="Times New Roman" w:hAnsi="Times New Roman" w:cs="Times New Roman"/>
          <w:sz w:val="28"/>
          <w:szCs w:val="28"/>
        </w:rPr>
      </w:pPr>
      <w:r w:rsidRPr="0092265F">
        <w:rPr>
          <w:rFonts w:ascii="Times New Roman" w:hAnsi="Times New Roman" w:cs="Times New Roman"/>
          <w:sz w:val="28"/>
          <w:szCs w:val="28"/>
        </w:rPr>
        <w:t>ESTR (овернайт) – для займа в евро;</w:t>
      </w:r>
    </w:p>
    <w:p w:rsidR="0092265F" w:rsidRPr="0092265F" w:rsidRDefault="0092265F" w:rsidP="0092265F">
      <w:pPr>
        <w:jc w:val="both"/>
        <w:rPr>
          <w:rFonts w:ascii="Times New Roman" w:hAnsi="Times New Roman" w:cs="Times New Roman"/>
          <w:sz w:val="28"/>
          <w:szCs w:val="28"/>
        </w:rPr>
      </w:pPr>
      <w:r w:rsidRPr="0092265F">
        <w:rPr>
          <w:rFonts w:ascii="Times New Roman" w:hAnsi="Times New Roman" w:cs="Times New Roman"/>
          <w:sz w:val="28"/>
          <w:szCs w:val="28"/>
        </w:rPr>
        <w:t>SHIBOR (овернайт) – для займа в китайских юанях;</w:t>
      </w:r>
    </w:p>
    <w:p w:rsidR="0092265F" w:rsidRPr="0092265F" w:rsidRDefault="0092265F" w:rsidP="0092265F">
      <w:pPr>
        <w:jc w:val="both"/>
        <w:rPr>
          <w:rFonts w:ascii="Times New Roman" w:hAnsi="Times New Roman" w:cs="Times New Roman"/>
          <w:sz w:val="28"/>
          <w:szCs w:val="28"/>
        </w:rPr>
      </w:pPr>
      <w:r w:rsidRPr="0092265F">
        <w:rPr>
          <w:rFonts w:ascii="Times New Roman" w:hAnsi="Times New Roman" w:cs="Times New Roman"/>
          <w:sz w:val="28"/>
          <w:szCs w:val="28"/>
        </w:rPr>
        <w:t>SOFR (овернайт) – для займа в долларах США;</w:t>
      </w:r>
    </w:p>
    <w:p w:rsidR="0092265F" w:rsidRPr="0092265F" w:rsidRDefault="0092265F" w:rsidP="0092265F">
      <w:pPr>
        <w:jc w:val="both"/>
        <w:rPr>
          <w:rFonts w:ascii="Times New Roman" w:hAnsi="Times New Roman" w:cs="Times New Roman"/>
          <w:sz w:val="28"/>
          <w:szCs w:val="28"/>
        </w:rPr>
      </w:pPr>
      <w:r w:rsidRPr="0092265F">
        <w:rPr>
          <w:rFonts w:ascii="Times New Roman" w:hAnsi="Times New Roman" w:cs="Times New Roman"/>
          <w:sz w:val="28"/>
          <w:szCs w:val="28"/>
        </w:rPr>
        <w:t>SONIA (овернайт) – для займа в фунтах стерлингов;</w:t>
      </w:r>
    </w:p>
    <w:p w:rsidR="0092265F" w:rsidRPr="0092265F" w:rsidRDefault="0092265F" w:rsidP="0092265F">
      <w:pPr>
        <w:jc w:val="both"/>
        <w:rPr>
          <w:rFonts w:ascii="Times New Roman" w:hAnsi="Times New Roman" w:cs="Times New Roman"/>
          <w:sz w:val="28"/>
          <w:szCs w:val="28"/>
        </w:rPr>
      </w:pPr>
      <w:r w:rsidRPr="0092265F">
        <w:rPr>
          <w:rFonts w:ascii="Times New Roman" w:hAnsi="Times New Roman" w:cs="Times New Roman"/>
          <w:sz w:val="28"/>
          <w:szCs w:val="28"/>
        </w:rPr>
        <w:t>SARON (овернайт) – для займа в швейцарских франках;</w:t>
      </w:r>
    </w:p>
    <w:p w:rsidR="0092265F" w:rsidRPr="0092265F" w:rsidRDefault="0092265F" w:rsidP="0092265F">
      <w:pPr>
        <w:jc w:val="both"/>
        <w:rPr>
          <w:rFonts w:ascii="Times New Roman" w:hAnsi="Times New Roman" w:cs="Times New Roman"/>
          <w:sz w:val="28"/>
          <w:szCs w:val="28"/>
        </w:rPr>
      </w:pPr>
      <w:r w:rsidRPr="0092265F">
        <w:rPr>
          <w:rFonts w:ascii="Times New Roman" w:hAnsi="Times New Roman" w:cs="Times New Roman"/>
          <w:sz w:val="28"/>
          <w:szCs w:val="28"/>
        </w:rPr>
        <w:t>ставка рефинансирования (ключевая, иная аналогичная), установленная иностранным банком, выполняющим функции центрального банка страны, – для займа, предоставленного в иных иностранных валютах.</w:t>
      </w:r>
    </w:p>
    <w:p w:rsidR="0092265F" w:rsidRPr="0092265F" w:rsidRDefault="0092265F" w:rsidP="0092265F">
      <w:pPr>
        <w:jc w:val="both"/>
        <w:rPr>
          <w:rFonts w:ascii="Times New Roman" w:hAnsi="Times New Roman" w:cs="Times New Roman"/>
          <w:sz w:val="28"/>
          <w:szCs w:val="28"/>
        </w:rPr>
      </w:pPr>
      <w:r w:rsidRPr="0092265F">
        <w:rPr>
          <w:rFonts w:ascii="Times New Roman" w:hAnsi="Times New Roman" w:cs="Times New Roman"/>
          <w:sz w:val="28"/>
          <w:szCs w:val="28"/>
        </w:rPr>
        <w:t xml:space="preserve">Для займов, предоставленных в белорусских рублях, минимальным значением диапазона рыночных цен признается уменьшенная на 50 процентов ставка рефинансирования, установленная Национальным банком, для займа, полученного в белорусских рублях, а максимальным </w:t>
      </w:r>
      <w:r w:rsidRPr="0092265F">
        <w:rPr>
          <w:rFonts w:ascii="Times New Roman" w:hAnsi="Times New Roman" w:cs="Times New Roman"/>
          <w:sz w:val="28"/>
          <w:szCs w:val="28"/>
        </w:rPr>
        <w:lastRenderedPageBreak/>
        <w:t>значением диапазона рыночных цен - увеличенная на 20 процентов ставка рефинансирования, установленная Национальным банком.</w:t>
      </w:r>
    </w:p>
    <w:p w:rsidR="0092265F" w:rsidRPr="0092265F" w:rsidRDefault="0092265F" w:rsidP="0092265F">
      <w:pPr>
        <w:jc w:val="both"/>
        <w:rPr>
          <w:rFonts w:ascii="Times New Roman" w:hAnsi="Times New Roman" w:cs="Times New Roman"/>
          <w:sz w:val="28"/>
          <w:szCs w:val="28"/>
        </w:rPr>
      </w:pPr>
      <w:r w:rsidRPr="0092265F">
        <w:rPr>
          <w:rFonts w:ascii="Times New Roman" w:hAnsi="Times New Roman" w:cs="Times New Roman"/>
          <w:sz w:val="28"/>
          <w:szCs w:val="28"/>
        </w:rPr>
        <w:t xml:space="preserve">Применение аналогичного порядка определения рыночной процентной ставки закреплено в отношении сделок по предоставлению (получению) займа, по которым отсутствует информация о займах с </w:t>
      </w:r>
      <w:proofErr w:type="gramStart"/>
      <w:r w:rsidRPr="0092265F">
        <w:rPr>
          <w:rFonts w:ascii="Times New Roman" w:hAnsi="Times New Roman" w:cs="Times New Roman"/>
          <w:sz w:val="28"/>
          <w:szCs w:val="28"/>
        </w:rPr>
        <w:t>сопоставимыми</w:t>
      </w:r>
      <w:proofErr w:type="gramEnd"/>
      <w:r w:rsidRPr="0092265F">
        <w:rPr>
          <w:rFonts w:ascii="Times New Roman" w:hAnsi="Times New Roman" w:cs="Times New Roman"/>
          <w:sz w:val="28"/>
          <w:szCs w:val="28"/>
        </w:rPr>
        <w:t xml:space="preserve"> сроком или валютой.</w:t>
      </w:r>
    </w:p>
    <w:p w:rsidR="0092265F" w:rsidRPr="0092265F" w:rsidRDefault="0092265F" w:rsidP="0092265F">
      <w:pPr>
        <w:jc w:val="both"/>
        <w:rPr>
          <w:rFonts w:ascii="Times New Roman" w:hAnsi="Times New Roman" w:cs="Times New Roman"/>
          <w:sz w:val="28"/>
          <w:szCs w:val="28"/>
        </w:rPr>
      </w:pPr>
      <w:r w:rsidRPr="0092265F">
        <w:rPr>
          <w:rFonts w:ascii="Times New Roman" w:hAnsi="Times New Roman" w:cs="Times New Roman"/>
          <w:sz w:val="28"/>
          <w:szCs w:val="28"/>
        </w:rPr>
        <w:t>При использовании метода сопоставимых рыночных цен корректировку налоговой базы налога на прибыль с 2026 г. следует производить в том отчетном периоде, в котором отражена в налоговой декларации по налогу на прибыль выручка от реализации товаров, работ, услуг, имущественных прав (п. 7 ст. 92 НК).</w:t>
      </w:r>
    </w:p>
    <w:p w:rsidR="0092265F" w:rsidRPr="0092265F" w:rsidRDefault="0092265F" w:rsidP="0092265F">
      <w:pPr>
        <w:jc w:val="both"/>
        <w:rPr>
          <w:rFonts w:ascii="Times New Roman" w:hAnsi="Times New Roman" w:cs="Times New Roman"/>
          <w:sz w:val="28"/>
          <w:szCs w:val="28"/>
        </w:rPr>
      </w:pPr>
      <w:r w:rsidRPr="0092265F">
        <w:rPr>
          <w:rFonts w:ascii="Times New Roman" w:hAnsi="Times New Roman" w:cs="Times New Roman"/>
          <w:sz w:val="28"/>
          <w:szCs w:val="28"/>
        </w:rPr>
        <w:t>Для установления взаимозависимости конкретизировано, что взаимозависимыми лицами будут признаваться не только организация и работник этой организации, но и родственники этого работника (</w:t>
      </w:r>
      <w:proofErr w:type="spellStart"/>
      <w:r w:rsidRPr="0092265F">
        <w:rPr>
          <w:rFonts w:ascii="Times New Roman" w:hAnsi="Times New Roman" w:cs="Times New Roman"/>
          <w:sz w:val="28"/>
          <w:szCs w:val="28"/>
        </w:rPr>
        <w:t>абз</w:t>
      </w:r>
      <w:proofErr w:type="spellEnd"/>
      <w:r w:rsidRPr="0092265F">
        <w:rPr>
          <w:rFonts w:ascii="Times New Roman" w:hAnsi="Times New Roman" w:cs="Times New Roman"/>
          <w:sz w:val="28"/>
          <w:szCs w:val="28"/>
        </w:rPr>
        <w:t>. 9 ч. 2 п. 1 ст. 20 НК).</w:t>
      </w:r>
    </w:p>
    <w:p w:rsidR="00CA362D" w:rsidRDefault="00CA362D"/>
    <w:sectPr w:rsidR="00CA36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868"/>
    <w:rsid w:val="000A6868"/>
    <w:rsid w:val="0092265F"/>
    <w:rsid w:val="00CA36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384413">
      <w:bodyDiv w:val="1"/>
      <w:marLeft w:val="0"/>
      <w:marRight w:val="0"/>
      <w:marTop w:val="0"/>
      <w:marBottom w:val="0"/>
      <w:divBdr>
        <w:top w:val="none" w:sz="0" w:space="0" w:color="auto"/>
        <w:left w:val="none" w:sz="0" w:space="0" w:color="auto"/>
        <w:bottom w:val="none" w:sz="0" w:space="0" w:color="auto"/>
        <w:right w:val="none" w:sz="0" w:space="0" w:color="auto"/>
      </w:divBdr>
      <w:divsChild>
        <w:div w:id="1509368619">
          <w:marLeft w:val="0"/>
          <w:marRight w:val="0"/>
          <w:marTop w:val="0"/>
          <w:marBottom w:val="0"/>
          <w:divBdr>
            <w:top w:val="none" w:sz="0" w:space="0" w:color="auto"/>
            <w:left w:val="none" w:sz="0" w:space="0" w:color="auto"/>
            <w:bottom w:val="single" w:sz="12" w:space="0" w:color="EBEBEB"/>
            <w:right w:val="none" w:sz="0" w:space="0" w:color="auto"/>
          </w:divBdr>
          <w:divsChild>
            <w:div w:id="21007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2364</Characters>
  <Application>Microsoft Office Word</Application>
  <DocSecurity>0</DocSecurity>
  <Lines>19</Lines>
  <Paragraphs>5</Paragraphs>
  <ScaleCrop>false</ScaleCrop>
  <Company/>
  <LinksUpToDate>false</LinksUpToDate>
  <CharactersWithSpaces>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Ярмолюк Ирина Геннадьевна</dc:creator>
  <cp:keywords/>
  <dc:description/>
  <cp:lastModifiedBy>Ярмолюк Ирина Геннадьевна</cp:lastModifiedBy>
  <cp:revision>3</cp:revision>
  <dcterms:created xsi:type="dcterms:W3CDTF">2026-01-14T13:16:00Z</dcterms:created>
  <dcterms:modified xsi:type="dcterms:W3CDTF">2026-01-14T13:17:00Z</dcterms:modified>
</cp:coreProperties>
</file>