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F6" w:rsidRPr="005319F6" w:rsidRDefault="005319F6" w:rsidP="005319F6">
      <w:pPr>
        <w:jc w:val="both"/>
        <w:rPr>
          <w:rFonts w:ascii="Times New Roman" w:hAnsi="Times New Roman" w:cs="Times New Roman"/>
          <w:b/>
          <w:bCs/>
          <w:sz w:val="28"/>
          <w:szCs w:val="28"/>
        </w:rPr>
      </w:pPr>
      <w:bookmarkStart w:id="0" w:name="_GoBack"/>
      <w:r w:rsidRPr="005319F6">
        <w:rPr>
          <w:rFonts w:ascii="Times New Roman" w:hAnsi="Times New Roman" w:cs="Times New Roman"/>
          <w:b/>
          <w:bCs/>
          <w:sz w:val="28"/>
          <w:szCs w:val="28"/>
        </w:rPr>
        <w:t xml:space="preserve">Комментарий к Закону Республики Беларусь от 30 декабря 2025 г. № 127-З  «Об изменении </w:t>
      </w:r>
      <w:proofErr w:type="gramStart"/>
      <w:r w:rsidRPr="005319F6">
        <w:rPr>
          <w:rFonts w:ascii="Times New Roman" w:hAnsi="Times New Roman" w:cs="Times New Roman"/>
          <w:b/>
          <w:bCs/>
          <w:sz w:val="28"/>
          <w:szCs w:val="28"/>
        </w:rPr>
        <w:t>законов по вопросам</w:t>
      </w:r>
      <w:proofErr w:type="gramEnd"/>
      <w:r w:rsidRPr="005319F6">
        <w:rPr>
          <w:rFonts w:ascii="Times New Roman" w:hAnsi="Times New Roman" w:cs="Times New Roman"/>
          <w:b/>
          <w:bCs/>
          <w:sz w:val="28"/>
          <w:szCs w:val="28"/>
        </w:rPr>
        <w:t xml:space="preserve"> налоговых правоотношений» (в части налога на прибыль)</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Признание выручки</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С 1 января 2026 г. в пункте 10 статьи 168 Налогового кодекса Республики Беларусь (далее – НК) закреплена дата отражения выручки при электронной дистанционной продаже товаров на основании договоров комиссии, поручения и иных аналогичных гражданско-правовых договоров.</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Так, при электронной дистанционной продаже товаров на основании вышеуказанных договоров датой отражения выручки от реализации товаров признается по выбору плательщика одна из следующих дат:</w:t>
      </w:r>
    </w:p>
    <w:p w:rsidR="005319F6" w:rsidRPr="005319F6" w:rsidRDefault="005319F6" w:rsidP="005319F6">
      <w:pPr>
        <w:numPr>
          <w:ilvl w:val="0"/>
          <w:numId w:val="1"/>
        </w:numPr>
        <w:jc w:val="both"/>
        <w:rPr>
          <w:rFonts w:ascii="Times New Roman" w:hAnsi="Times New Roman" w:cs="Times New Roman"/>
          <w:sz w:val="28"/>
          <w:szCs w:val="28"/>
        </w:rPr>
      </w:pPr>
      <w:r w:rsidRPr="005319F6">
        <w:rPr>
          <w:rFonts w:ascii="Times New Roman" w:hAnsi="Times New Roman" w:cs="Times New Roman"/>
          <w:sz w:val="28"/>
          <w:szCs w:val="28"/>
        </w:rPr>
        <w:t>дата отгрузки товаров их собственником, правообладателем комиссионеру, поверенному или иному аналогичному лицу;</w:t>
      </w:r>
    </w:p>
    <w:p w:rsidR="005319F6" w:rsidRPr="005319F6" w:rsidRDefault="005319F6" w:rsidP="005319F6">
      <w:pPr>
        <w:numPr>
          <w:ilvl w:val="0"/>
          <w:numId w:val="1"/>
        </w:numPr>
        <w:jc w:val="both"/>
        <w:rPr>
          <w:rFonts w:ascii="Times New Roman" w:hAnsi="Times New Roman" w:cs="Times New Roman"/>
          <w:sz w:val="28"/>
          <w:szCs w:val="28"/>
        </w:rPr>
      </w:pPr>
      <w:r w:rsidRPr="005319F6">
        <w:rPr>
          <w:rFonts w:ascii="Times New Roman" w:hAnsi="Times New Roman" w:cs="Times New Roman"/>
          <w:sz w:val="28"/>
          <w:szCs w:val="28"/>
        </w:rPr>
        <w:t>дата отгрузки товаров комиссионером, поверенным или иным аналогичным лицом покупателю, заказчику;</w:t>
      </w:r>
    </w:p>
    <w:p w:rsidR="005319F6" w:rsidRPr="005319F6" w:rsidRDefault="005319F6" w:rsidP="005319F6">
      <w:pPr>
        <w:numPr>
          <w:ilvl w:val="0"/>
          <w:numId w:val="1"/>
        </w:numPr>
        <w:jc w:val="both"/>
        <w:rPr>
          <w:rFonts w:ascii="Times New Roman" w:hAnsi="Times New Roman" w:cs="Times New Roman"/>
          <w:sz w:val="28"/>
          <w:szCs w:val="28"/>
        </w:rPr>
      </w:pPr>
      <w:r w:rsidRPr="005319F6">
        <w:rPr>
          <w:rFonts w:ascii="Times New Roman" w:hAnsi="Times New Roman" w:cs="Times New Roman"/>
          <w:sz w:val="28"/>
          <w:szCs w:val="28"/>
        </w:rPr>
        <w:t>дата доставки (реализации) товаров, отражаемая в отчете о продаже товаров и (или) детализации к такому отчету комиссионером, поверенным или иным аналогичным лицом, через электронную торговую площадку которых осуществляется электронная дистанционная продажа таких товаров.</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Необходимо помнить, что выбранный плательщиком порядок определения дня отгрузки товаров отражается в учетной политике организации и изменению в течение текущего налогового периода не подлежит.</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Особенности определения валовой прибыли филиалами</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Внесены правки в пункт 2 статьи 169 НК и закреплено, что при определении валовой прибыли филиалами, самостоятельно исчисляющими налог на прибыль, принимаются учитываемые при налогообложении затраты, понесенные филиалами и организацией, в части, относящейся к деятельности этих филиалов, отраженные в бухгалтерском учете этих филиалов в порядке, установленном законодательством о бухгалтерском учете и отчетности или учетной политикой организации (при отсутствии установленного законодательством</w:t>
      </w:r>
      <w:proofErr w:type="gramEnd"/>
      <w:r w:rsidRPr="005319F6">
        <w:rPr>
          <w:rFonts w:ascii="Times New Roman" w:hAnsi="Times New Roman" w:cs="Times New Roman"/>
          <w:sz w:val="28"/>
          <w:szCs w:val="28"/>
        </w:rPr>
        <w:t xml:space="preserve"> порядка).</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lastRenderedPageBreak/>
        <w:t>При этом сохраняются ранее действовавшие для целей исчисления налога на прибыль такими филиалами подходы к учету распределенных в налоговом учете между головной организацией и филиалами:</w:t>
      </w:r>
      <w:proofErr w:type="gramEnd"/>
    </w:p>
    <w:p w:rsidR="005319F6" w:rsidRPr="005319F6" w:rsidRDefault="005319F6" w:rsidP="005319F6">
      <w:pPr>
        <w:numPr>
          <w:ilvl w:val="0"/>
          <w:numId w:val="2"/>
        </w:numPr>
        <w:jc w:val="both"/>
        <w:rPr>
          <w:rFonts w:ascii="Times New Roman" w:hAnsi="Times New Roman" w:cs="Times New Roman"/>
          <w:sz w:val="28"/>
          <w:szCs w:val="28"/>
        </w:rPr>
      </w:pPr>
      <w:r w:rsidRPr="005319F6">
        <w:rPr>
          <w:rFonts w:ascii="Times New Roman" w:hAnsi="Times New Roman" w:cs="Times New Roman"/>
          <w:sz w:val="28"/>
          <w:szCs w:val="28"/>
        </w:rPr>
        <w:t>расходов, связанных с управлением организацией;</w:t>
      </w:r>
    </w:p>
    <w:p w:rsidR="005319F6" w:rsidRPr="005319F6" w:rsidRDefault="005319F6" w:rsidP="005319F6">
      <w:pPr>
        <w:numPr>
          <w:ilvl w:val="0"/>
          <w:numId w:val="2"/>
        </w:numPr>
        <w:jc w:val="both"/>
        <w:rPr>
          <w:rFonts w:ascii="Times New Roman" w:hAnsi="Times New Roman" w:cs="Times New Roman"/>
          <w:sz w:val="28"/>
          <w:szCs w:val="28"/>
        </w:rPr>
      </w:pPr>
      <w:r w:rsidRPr="005319F6">
        <w:rPr>
          <w:rFonts w:ascii="Times New Roman" w:hAnsi="Times New Roman" w:cs="Times New Roman"/>
          <w:sz w:val="28"/>
          <w:szCs w:val="28"/>
        </w:rPr>
        <w:t>процентов за пользование кредитами, займами, удовлетворяющих требованиям, указанным в подпункте 2.4 пункта 2 статьи 170 НК;</w:t>
      </w:r>
    </w:p>
    <w:p w:rsidR="005319F6" w:rsidRPr="005319F6" w:rsidRDefault="005319F6" w:rsidP="005319F6">
      <w:pPr>
        <w:numPr>
          <w:ilvl w:val="0"/>
          <w:numId w:val="2"/>
        </w:numPr>
        <w:jc w:val="both"/>
        <w:rPr>
          <w:rFonts w:ascii="Times New Roman" w:hAnsi="Times New Roman" w:cs="Times New Roman"/>
          <w:sz w:val="28"/>
          <w:szCs w:val="28"/>
        </w:rPr>
      </w:pPr>
      <w:r w:rsidRPr="005319F6">
        <w:rPr>
          <w:rFonts w:ascii="Times New Roman" w:hAnsi="Times New Roman" w:cs="Times New Roman"/>
          <w:sz w:val="28"/>
          <w:szCs w:val="28"/>
        </w:rPr>
        <w:t>курсовых разниц, возникающих в бухгалтерском учете при пересчете обязательств по кредитам и займам (пункт 14 статьи 167, часть вторая пункта 2 статьи 169, часть вторая подпункта 2.4 пункта 2 статьи 170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Инвестиционный вычет</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С 1 января 2026 г. снят запрет на применение инвестиционного вычета юридическими лицами, указанными в подпункте 1.1 пункта 1 статьи 20 Лесного кодекса Республики Беларусь (государственными лесохозяйственными учреждениями, подчиненными республиканскому органу государственного управления по лесному хозяйству), ведущими лесное хозяйство и финансируемыми за счет средств республиканского бюджета и поступлений от ведения лесного и охотничьего хозяйства.</w:t>
      </w:r>
      <w:proofErr w:type="gramEnd"/>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В 2026 г., как и в 2025 г. инвестиционный вычет может быть применен исключительно по зданиям, сооружениям производственного назначения.</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Как и ранее, к зданиям, сооружениям относятся основные средства (их части), определенные в качестве зданий, сооружений постановлением Министерства экономики Республики Беларусь от 30 сентября 2011 г. № 161 «Об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 (далее – постановление № 161).</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При этом с 2026 г. изменены подходы к отнесению зданий и сооружений к зданиям, сооружениям производственного назначения для целей применения инвестиционного вычета.</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 xml:space="preserve">Так, к зданиям, сооружениям производственного назначения относятся здания, сооружения, прямо или косвенно используемые (предназначенные для использования) в деятельности, связанной с производством продукции, расходы на содержание и эксплуатацию которых подлежат в бухгалтерском </w:t>
      </w:r>
      <w:r w:rsidRPr="005319F6">
        <w:rPr>
          <w:rFonts w:ascii="Times New Roman" w:hAnsi="Times New Roman" w:cs="Times New Roman"/>
          <w:sz w:val="28"/>
          <w:szCs w:val="28"/>
        </w:rPr>
        <w:lastRenderedPageBreak/>
        <w:t>учете включению, в том числе частично, в себестоимость производимой продукции (часть пятая подпункта 2.2 пункта 2 статьи 170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Как и прежде, инвестиционный вычет нельзя применить в отношении:</w:t>
      </w:r>
    </w:p>
    <w:p w:rsidR="005319F6" w:rsidRPr="005319F6" w:rsidRDefault="005319F6" w:rsidP="005319F6">
      <w:pPr>
        <w:numPr>
          <w:ilvl w:val="0"/>
          <w:numId w:val="3"/>
        </w:numPr>
        <w:jc w:val="both"/>
        <w:rPr>
          <w:rFonts w:ascii="Times New Roman" w:hAnsi="Times New Roman" w:cs="Times New Roman"/>
          <w:sz w:val="28"/>
          <w:szCs w:val="28"/>
        </w:rPr>
      </w:pPr>
      <w:r w:rsidRPr="005319F6">
        <w:rPr>
          <w:rFonts w:ascii="Times New Roman" w:hAnsi="Times New Roman" w:cs="Times New Roman"/>
          <w:sz w:val="28"/>
          <w:szCs w:val="28"/>
        </w:rPr>
        <w:t>административных и жилых зданий;</w:t>
      </w:r>
    </w:p>
    <w:p w:rsidR="005319F6" w:rsidRPr="005319F6" w:rsidRDefault="005319F6" w:rsidP="005319F6">
      <w:pPr>
        <w:numPr>
          <w:ilvl w:val="0"/>
          <w:numId w:val="3"/>
        </w:numPr>
        <w:jc w:val="both"/>
        <w:rPr>
          <w:rFonts w:ascii="Times New Roman" w:hAnsi="Times New Roman" w:cs="Times New Roman"/>
          <w:sz w:val="28"/>
          <w:szCs w:val="28"/>
        </w:rPr>
      </w:pPr>
      <w:r w:rsidRPr="005319F6">
        <w:rPr>
          <w:rFonts w:ascii="Times New Roman" w:hAnsi="Times New Roman" w:cs="Times New Roman"/>
          <w:sz w:val="28"/>
          <w:szCs w:val="28"/>
        </w:rPr>
        <w:t>зданий гостиниц и других зданий для краткосрочного проживания;</w:t>
      </w:r>
    </w:p>
    <w:p w:rsidR="005319F6" w:rsidRPr="005319F6" w:rsidRDefault="005319F6" w:rsidP="005319F6">
      <w:pPr>
        <w:numPr>
          <w:ilvl w:val="0"/>
          <w:numId w:val="3"/>
        </w:numPr>
        <w:jc w:val="both"/>
        <w:rPr>
          <w:rFonts w:ascii="Times New Roman" w:hAnsi="Times New Roman" w:cs="Times New Roman"/>
          <w:sz w:val="28"/>
          <w:szCs w:val="28"/>
        </w:rPr>
      </w:pPr>
      <w:r w:rsidRPr="005319F6">
        <w:rPr>
          <w:rFonts w:ascii="Times New Roman" w:hAnsi="Times New Roman" w:cs="Times New Roman"/>
          <w:sz w:val="28"/>
          <w:szCs w:val="28"/>
        </w:rPr>
        <w:t>зданий гаражей, паркингов и иных зданий для хранения автомобилей;</w:t>
      </w:r>
    </w:p>
    <w:p w:rsidR="005319F6" w:rsidRPr="005319F6" w:rsidRDefault="005319F6" w:rsidP="005319F6">
      <w:pPr>
        <w:numPr>
          <w:ilvl w:val="0"/>
          <w:numId w:val="3"/>
        </w:numPr>
        <w:jc w:val="both"/>
        <w:rPr>
          <w:rFonts w:ascii="Times New Roman" w:hAnsi="Times New Roman" w:cs="Times New Roman"/>
          <w:sz w:val="28"/>
          <w:szCs w:val="28"/>
        </w:rPr>
      </w:pPr>
      <w:r w:rsidRPr="005319F6">
        <w:rPr>
          <w:rFonts w:ascii="Times New Roman" w:hAnsi="Times New Roman" w:cs="Times New Roman"/>
          <w:sz w:val="28"/>
          <w:szCs w:val="28"/>
        </w:rPr>
        <w:t>зданий физкультурно-развлекательного, физкультурно-оздоровительного, спортивно-массового и спортивного назначения;</w:t>
      </w:r>
    </w:p>
    <w:p w:rsidR="005319F6" w:rsidRPr="005319F6" w:rsidRDefault="005319F6" w:rsidP="005319F6">
      <w:pPr>
        <w:numPr>
          <w:ilvl w:val="0"/>
          <w:numId w:val="3"/>
        </w:numPr>
        <w:jc w:val="both"/>
        <w:rPr>
          <w:rFonts w:ascii="Times New Roman" w:hAnsi="Times New Roman" w:cs="Times New Roman"/>
          <w:sz w:val="28"/>
          <w:szCs w:val="28"/>
        </w:rPr>
      </w:pPr>
      <w:r w:rsidRPr="005319F6">
        <w:rPr>
          <w:rFonts w:ascii="Times New Roman" w:hAnsi="Times New Roman" w:cs="Times New Roman"/>
          <w:sz w:val="28"/>
          <w:szCs w:val="28"/>
        </w:rPr>
        <w:t>зданий, используемых (предназначенных для использования) в деятельности в сфере игорного бизнеса, в деятельности в сфере торговли, в деятельности в сфере общественного питания, за исключением зданий производственного назначения, в которых размещены столовые и иные объекты общественного питания.</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Также по-прежнему инвестиционный вычет не может быть применен в отношении сооружений, используемых (предназначенных для использования):</w:t>
      </w:r>
    </w:p>
    <w:p w:rsidR="005319F6" w:rsidRPr="005319F6" w:rsidRDefault="005319F6" w:rsidP="005319F6">
      <w:pPr>
        <w:numPr>
          <w:ilvl w:val="0"/>
          <w:numId w:val="4"/>
        </w:numPr>
        <w:jc w:val="both"/>
        <w:rPr>
          <w:rFonts w:ascii="Times New Roman" w:hAnsi="Times New Roman" w:cs="Times New Roman"/>
          <w:sz w:val="28"/>
          <w:szCs w:val="28"/>
        </w:rPr>
      </w:pPr>
      <w:r w:rsidRPr="005319F6">
        <w:rPr>
          <w:rFonts w:ascii="Times New Roman" w:hAnsi="Times New Roman" w:cs="Times New Roman"/>
          <w:sz w:val="28"/>
          <w:szCs w:val="28"/>
        </w:rPr>
        <w:t>в административных, культурно-развлекательных, физкультурно-оздоровительных, спортивно-массовых и спортивных целях;</w:t>
      </w:r>
    </w:p>
    <w:p w:rsidR="005319F6" w:rsidRPr="005319F6" w:rsidRDefault="005319F6" w:rsidP="005319F6">
      <w:pPr>
        <w:numPr>
          <w:ilvl w:val="0"/>
          <w:numId w:val="4"/>
        </w:numPr>
        <w:jc w:val="both"/>
        <w:rPr>
          <w:rFonts w:ascii="Times New Roman" w:hAnsi="Times New Roman" w:cs="Times New Roman"/>
          <w:sz w:val="28"/>
          <w:szCs w:val="28"/>
        </w:rPr>
      </w:pPr>
      <w:r w:rsidRPr="005319F6">
        <w:rPr>
          <w:rFonts w:ascii="Times New Roman" w:hAnsi="Times New Roman" w:cs="Times New Roman"/>
          <w:sz w:val="28"/>
          <w:szCs w:val="28"/>
        </w:rPr>
        <w:t>для хранения, стоянки или парковки автомобилей;</w:t>
      </w:r>
    </w:p>
    <w:p w:rsidR="005319F6" w:rsidRPr="005319F6" w:rsidRDefault="005319F6" w:rsidP="005319F6">
      <w:pPr>
        <w:numPr>
          <w:ilvl w:val="0"/>
          <w:numId w:val="4"/>
        </w:numPr>
        <w:jc w:val="both"/>
        <w:rPr>
          <w:rFonts w:ascii="Times New Roman" w:hAnsi="Times New Roman" w:cs="Times New Roman"/>
          <w:sz w:val="28"/>
          <w:szCs w:val="28"/>
        </w:rPr>
      </w:pPr>
      <w:r w:rsidRPr="005319F6">
        <w:rPr>
          <w:rFonts w:ascii="Times New Roman" w:hAnsi="Times New Roman" w:cs="Times New Roman"/>
          <w:sz w:val="28"/>
          <w:szCs w:val="28"/>
        </w:rPr>
        <w:t>для осуществления деятельности в сферах игорного бизнеса, торговли, общественного питания.</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С 2026 г. инвестиционный вычет не может быть применен к первоначальной стоимости основных средств, в отношении которых законодательством для целей определения нормативных сроков службы основных средств нормативный срок службы не установлен, при установлении решением комиссии по проведению амортизационной политики нормативного срока службы таких основных средств менее пяти лет и стоимости вложений в их реконструкцию (часть шестая подпункта 2.2 пункта 2</w:t>
      </w:r>
      <w:proofErr w:type="gramEnd"/>
      <w:r w:rsidRPr="005319F6">
        <w:rPr>
          <w:rFonts w:ascii="Times New Roman" w:hAnsi="Times New Roman" w:cs="Times New Roman"/>
          <w:sz w:val="28"/>
          <w:szCs w:val="28"/>
        </w:rPr>
        <w:t xml:space="preserve"> статьи 170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 xml:space="preserve">С 2026 г. подпункт 2.2 пункта 2 статьи 170 НК дополнен частью восьмой, согласно которой инвестиционный вычет, не отраженный плательщиком в налоговой декларации (расчете) по налогу на прибыль для белорусских организаций (далее – декларация по налогу на прибыль), срок представления </w:t>
      </w:r>
      <w:r w:rsidRPr="005319F6">
        <w:rPr>
          <w:rFonts w:ascii="Times New Roman" w:hAnsi="Times New Roman" w:cs="Times New Roman"/>
          <w:sz w:val="28"/>
          <w:szCs w:val="28"/>
        </w:rPr>
        <w:lastRenderedPageBreak/>
        <w:t>которой наступил до назначения проверки, за проверяемый период применению не подлежит.</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 xml:space="preserve">Инвестиционный вычет по новым правилам применяется по основным средствам, по которым начало начисления амортизации приходится на </w:t>
      </w:r>
      <w:proofErr w:type="gramStart"/>
      <w:r w:rsidRPr="005319F6">
        <w:rPr>
          <w:rFonts w:ascii="Times New Roman" w:hAnsi="Times New Roman" w:cs="Times New Roman"/>
          <w:sz w:val="28"/>
          <w:szCs w:val="28"/>
        </w:rPr>
        <w:t>период</w:t>
      </w:r>
      <w:proofErr w:type="gramEnd"/>
      <w:r w:rsidRPr="005319F6">
        <w:rPr>
          <w:rFonts w:ascii="Times New Roman" w:hAnsi="Times New Roman" w:cs="Times New Roman"/>
          <w:sz w:val="28"/>
          <w:szCs w:val="28"/>
        </w:rPr>
        <w:t xml:space="preserve"> начиная с 1 января 2026 г., и по стоимости вложений в реконструкцию, стоимость которых увеличила первоначальную стоимость после 1 января 2026 г.</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Инвестиционный вычет по основным средствам и стоимости вложений в реконструкцию, в отношении которых начало начисления амортизации или отнесение стоимости вложений в реконструкцию на увеличение первоначальной стоимости объектов основных средств имело место до 1 января 2026 г., применяется до истечения двухлетнего периода, предусмотренного для его применения, с соблюдением положений, установленных подпунктом 2.2 пункта 2 статьи 170 НК, действовавших на дату начала</w:t>
      </w:r>
      <w:proofErr w:type="gramEnd"/>
      <w:r w:rsidRPr="005319F6">
        <w:rPr>
          <w:rFonts w:ascii="Times New Roman" w:hAnsi="Times New Roman" w:cs="Times New Roman"/>
          <w:sz w:val="28"/>
          <w:szCs w:val="28"/>
        </w:rPr>
        <w:t xml:space="preserve"> такого периода.</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Затраты, учитываемые при налогообложении</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Закреплено право включать в состав затрат по производству и реализации товаров (работ, услуг), имущественных прав расходы на содержание и эксплуатацию имущества, предоставляемого органам и подразделениям по чрезвычайным ситуациям, обеспечивающим обслуживание объектов организаций на основании заключенных договоров об оказании услуг с пожарными аварийно-спасательными подразделениями, созданными в соответствии с Законом Республики Беларусь от 22 июня 2001 г. № 39-З «Об аварийно-спасательных службах и</w:t>
      </w:r>
      <w:proofErr w:type="gramEnd"/>
      <w:r w:rsidRPr="005319F6">
        <w:rPr>
          <w:rFonts w:ascii="Times New Roman" w:hAnsi="Times New Roman" w:cs="Times New Roman"/>
          <w:sz w:val="28"/>
          <w:szCs w:val="28"/>
        </w:rPr>
        <w:t xml:space="preserve"> </w:t>
      </w:r>
      <w:proofErr w:type="gramStart"/>
      <w:r w:rsidRPr="005319F6">
        <w:rPr>
          <w:rFonts w:ascii="Times New Roman" w:hAnsi="Times New Roman" w:cs="Times New Roman"/>
          <w:sz w:val="28"/>
          <w:szCs w:val="28"/>
        </w:rPr>
        <w:t>статусе</w:t>
      </w:r>
      <w:proofErr w:type="gramEnd"/>
      <w:r w:rsidRPr="005319F6">
        <w:rPr>
          <w:rFonts w:ascii="Times New Roman" w:hAnsi="Times New Roman" w:cs="Times New Roman"/>
          <w:sz w:val="28"/>
          <w:szCs w:val="28"/>
        </w:rPr>
        <w:t xml:space="preserve"> спасателя» (подпункт 2.14 пункта 2 статьи 170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Внереализационные расходы</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Законодательно закреплена норма, предусматривающая, что обязательные страховые взносы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начисленные в порядке, установленном законодательством о государственном социальном страховании и законодательством о страховании, за проверяемый период, не отраженные плательщиком в декларациях по налогу на прибыль, срок представления которых наступил до</w:t>
      </w:r>
      <w:proofErr w:type="gramEnd"/>
      <w:r w:rsidRPr="005319F6">
        <w:rPr>
          <w:rFonts w:ascii="Times New Roman" w:hAnsi="Times New Roman" w:cs="Times New Roman"/>
          <w:sz w:val="28"/>
          <w:szCs w:val="28"/>
        </w:rPr>
        <w:t xml:space="preserve"> назначения проверки, включаются в состав внереализационных расходов в </w:t>
      </w:r>
      <w:r w:rsidRPr="005319F6">
        <w:rPr>
          <w:rFonts w:ascii="Times New Roman" w:hAnsi="Times New Roman" w:cs="Times New Roman"/>
          <w:sz w:val="28"/>
          <w:szCs w:val="28"/>
        </w:rPr>
        <w:lastRenderedPageBreak/>
        <w:t>том отчетном периоде, в котором они уплачены (абзац четвертый части первой, часть вторая подпункта 3.34 пункта 3 статьи 175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Льготы по налогу па прибыль</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Перечень организаций, установленный пунктом 1 статьи 181 НК, дополнен такими организациями, как социально-благотворительное учреждение «</w:t>
      </w:r>
      <w:proofErr w:type="spellStart"/>
      <w:r w:rsidRPr="005319F6">
        <w:rPr>
          <w:rFonts w:ascii="Times New Roman" w:hAnsi="Times New Roman" w:cs="Times New Roman"/>
          <w:sz w:val="28"/>
          <w:szCs w:val="28"/>
        </w:rPr>
        <w:t>КиндерВита</w:t>
      </w:r>
      <w:proofErr w:type="spellEnd"/>
      <w:r w:rsidRPr="005319F6">
        <w:rPr>
          <w:rFonts w:ascii="Times New Roman" w:hAnsi="Times New Roman" w:cs="Times New Roman"/>
          <w:sz w:val="28"/>
          <w:szCs w:val="28"/>
        </w:rPr>
        <w:t>», Международное благотворительное общественное объединение «</w:t>
      </w:r>
      <w:proofErr w:type="spellStart"/>
      <w:r w:rsidRPr="005319F6">
        <w:rPr>
          <w:rFonts w:ascii="Times New Roman" w:hAnsi="Times New Roman" w:cs="Times New Roman"/>
          <w:sz w:val="28"/>
          <w:szCs w:val="28"/>
        </w:rPr>
        <w:t>ЮниХелп</w:t>
      </w:r>
      <w:proofErr w:type="spellEnd"/>
      <w:r w:rsidRPr="005319F6">
        <w:rPr>
          <w:rFonts w:ascii="Times New Roman" w:hAnsi="Times New Roman" w:cs="Times New Roman"/>
          <w:sz w:val="28"/>
          <w:szCs w:val="28"/>
        </w:rPr>
        <w:t>». При оказании с 2026 г. безвозмездной (спонсорской) помощи указанным некоммерческим организациям организации – спонсоры вправе применить льготу, предусмотренную пунктом 1 статьи 181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Статья 181 НК дополнена пунктом 16, которым предусмотрено освобождение от налогообложения налогом на прибыль прибыли санаторно-курортных и оздоровительных организаций от оказания услуг по санаторно-курортному лечению и оздоровлению, а также прибыли организаций от оказания услуг по проживанию.</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Указанная льгота распространяется на оказание услуг в возведенных после 1 января 2026 г. капитальных строениях (зданиях), являющихся гостиницами или аналогичными средствами размещения, капитальных строениях (зданиях) санаторно-курортных и оздоровительных организаций по перечню таких капитальных строений (зданий), определяемому Советом Министров Республики Беларусь, и подлежит применению в течение трех лет, исчисляемых начиная с квартала, на который приходится дата приемки в эксплуатацию в порядке</w:t>
      </w:r>
      <w:proofErr w:type="gramEnd"/>
      <w:r w:rsidRPr="005319F6">
        <w:rPr>
          <w:rFonts w:ascii="Times New Roman" w:hAnsi="Times New Roman" w:cs="Times New Roman"/>
          <w:sz w:val="28"/>
          <w:szCs w:val="28"/>
        </w:rPr>
        <w:t xml:space="preserve">, </w:t>
      </w:r>
      <w:proofErr w:type="gramStart"/>
      <w:r w:rsidRPr="005319F6">
        <w:rPr>
          <w:rFonts w:ascii="Times New Roman" w:hAnsi="Times New Roman" w:cs="Times New Roman"/>
          <w:sz w:val="28"/>
          <w:szCs w:val="28"/>
        </w:rPr>
        <w:t>установленном в соответствии с законодательством, таких капитальных строений (зданий).</w:t>
      </w:r>
      <w:proofErr w:type="gramEnd"/>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Ставки налога на прибыль</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Организации для подтверждения правомерности применения ставки налога на прибыль в размере 10 % в отношении прибыли, полученной от реализации товаров собственного производства, включенных в перечень высокотехнологичных товаров, определенный постановлением Совета Министров Республики Беларусь от 01.07.2022 № 435 «О перечне высокотехнологичных товаров», вправе представить в налоговый орган по месту постановки на учет копию сертификата продукции собственного производства как на бумажном носителе, так и</w:t>
      </w:r>
      <w:proofErr w:type="gramEnd"/>
      <w:r w:rsidRPr="005319F6">
        <w:rPr>
          <w:rFonts w:ascii="Times New Roman" w:hAnsi="Times New Roman" w:cs="Times New Roman"/>
          <w:sz w:val="28"/>
          <w:szCs w:val="28"/>
        </w:rPr>
        <w:t xml:space="preserve"> в виде электронного документа (пункт 3 статьи 184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lastRenderedPageBreak/>
        <w:t>Соответственно, для правомерности применения вышеуказанной льготы при представлении в налоговый орган декларации по налогу на прибыль за 4 квартал 2025 г. (нарастающим итогом с начала года) по сроку 20 марта 2026 г. организация вправе представить копию сертификата продукции собственного производства в виде электронного документа.</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До 1 января 2026 г. организации для подтверждения вышеуказанной льготы обязаны были представить копию сертификата продукции собственного производства на бумажном носителе.</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С 2026 г. отменяется ставка налога на прибыль с дивидендов в размере 6 % (из статьи 184 НК исключен пункт 7).</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Ставка 6 % может быть применена в 2025 году при выполнении условий для ее применения, в частности, если в 2025 году принято решение о распределении прибыли на выплату дивидендов и в течение не менее трех предшествующих календарных лет последовательно прибыль не распределялась между участниками (акционерами) белорусской организации (например, если прибыль до 2025 года распределялась на выплату дивидендов не позднее, чем в</w:t>
      </w:r>
      <w:proofErr w:type="gramEnd"/>
      <w:r w:rsidRPr="005319F6">
        <w:rPr>
          <w:rFonts w:ascii="Times New Roman" w:hAnsi="Times New Roman" w:cs="Times New Roman"/>
          <w:sz w:val="28"/>
          <w:szCs w:val="28"/>
        </w:rPr>
        <w:t xml:space="preserve"> </w:t>
      </w:r>
      <w:proofErr w:type="gramStart"/>
      <w:r w:rsidRPr="005319F6">
        <w:rPr>
          <w:rFonts w:ascii="Times New Roman" w:hAnsi="Times New Roman" w:cs="Times New Roman"/>
          <w:sz w:val="28"/>
          <w:szCs w:val="28"/>
        </w:rPr>
        <w:t>2021 году).</w:t>
      </w:r>
      <w:proofErr w:type="gramEnd"/>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sz w:val="28"/>
          <w:szCs w:val="28"/>
        </w:rPr>
        <w:t>Для страховых брокеров ставка налога на прибыль установлена в размере 25 % (пункт 9 статьи 184 НК).</w:t>
      </w:r>
    </w:p>
    <w:p w:rsidR="005319F6" w:rsidRPr="005319F6" w:rsidRDefault="005319F6" w:rsidP="005319F6">
      <w:pPr>
        <w:jc w:val="both"/>
        <w:rPr>
          <w:rFonts w:ascii="Times New Roman" w:hAnsi="Times New Roman" w:cs="Times New Roman"/>
          <w:sz w:val="28"/>
          <w:szCs w:val="28"/>
        </w:rPr>
      </w:pPr>
      <w:r w:rsidRPr="005319F6">
        <w:rPr>
          <w:rFonts w:ascii="Times New Roman" w:hAnsi="Times New Roman" w:cs="Times New Roman"/>
          <w:b/>
          <w:bCs/>
          <w:sz w:val="28"/>
          <w:szCs w:val="28"/>
        </w:rPr>
        <w:t>Декларации по налогу на прибыль</w:t>
      </w:r>
    </w:p>
    <w:p w:rsidR="005319F6" w:rsidRPr="005319F6" w:rsidRDefault="005319F6" w:rsidP="005319F6">
      <w:pPr>
        <w:jc w:val="both"/>
        <w:rPr>
          <w:rFonts w:ascii="Times New Roman" w:hAnsi="Times New Roman" w:cs="Times New Roman"/>
          <w:sz w:val="28"/>
          <w:szCs w:val="28"/>
        </w:rPr>
      </w:pPr>
      <w:proofErr w:type="gramStart"/>
      <w:r w:rsidRPr="005319F6">
        <w:rPr>
          <w:rFonts w:ascii="Times New Roman" w:hAnsi="Times New Roman" w:cs="Times New Roman"/>
          <w:sz w:val="28"/>
          <w:szCs w:val="28"/>
        </w:rPr>
        <w:t>Исключается обязанность по представлению деклараций по налогу на прибыль при отсутствии объекта налогообложения, и сумм, участвующих при определении налоговой базы налога на прибыль и (или) сумм налога на прибыль, исчисленного для уплаты в Республике Беларусь, начиная с такой декларации по налогу на прибыль, представляемой за I квартал 2026 года (абзац третий части третьей пункта 2 статьи 40, часть первая пункта</w:t>
      </w:r>
      <w:proofErr w:type="gramEnd"/>
      <w:r w:rsidRPr="005319F6">
        <w:rPr>
          <w:rFonts w:ascii="Times New Roman" w:hAnsi="Times New Roman" w:cs="Times New Roman"/>
          <w:sz w:val="28"/>
          <w:szCs w:val="28"/>
        </w:rPr>
        <w:t xml:space="preserve"> </w:t>
      </w:r>
      <w:proofErr w:type="gramStart"/>
      <w:r w:rsidRPr="005319F6">
        <w:rPr>
          <w:rFonts w:ascii="Times New Roman" w:hAnsi="Times New Roman" w:cs="Times New Roman"/>
          <w:sz w:val="28"/>
          <w:szCs w:val="28"/>
        </w:rPr>
        <w:t>6 статьи 186 НК).</w:t>
      </w:r>
      <w:proofErr w:type="gramEnd"/>
    </w:p>
    <w:bookmarkEnd w:id="0"/>
    <w:p w:rsidR="00805D31" w:rsidRPr="005319F6" w:rsidRDefault="00805D31" w:rsidP="005319F6">
      <w:pPr>
        <w:jc w:val="both"/>
        <w:rPr>
          <w:rFonts w:ascii="Times New Roman" w:hAnsi="Times New Roman" w:cs="Times New Roman"/>
          <w:sz w:val="28"/>
          <w:szCs w:val="28"/>
        </w:rPr>
      </w:pPr>
    </w:p>
    <w:sectPr w:rsidR="00805D31" w:rsidRPr="00531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02B26"/>
    <w:multiLevelType w:val="multilevel"/>
    <w:tmpl w:val="FE16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31E4C"/>
    <w:multiLevelType w:val="multilevel"/>
    <w:tmpl w:val="077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7C7CC1"/>
    <w:multiLevelType w:val="multilevel"/>
    <w:tmpl w:val="B8E0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215865"/>
    <w:multiLevelType w:val="multilevel"/>
    <w:tmpl w:val="C19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60"/>
    <w:rsid w:val="005319F6"/>
    <w:rsid w:val="00607660"/>
    <w:rsid w:val="0080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19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1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430082">
      <w:bodyDiv w:val="1"/>
      <w:marLeft w:val="0"/>
      <w:marRight w:val="0"/>
      <w:marTop w:val="0"/>
      <w:marBottom w:val="0"/>
      <w:divBdr>
        <w:top w:val="none" w:sz="0" w:space="0" w:color="auto"/>
        <w:left w:val="none" w:sz="0" w:space="0" w:color="auto"/>
        <w:bottom w:val="none" w:sz="0" w:space="0" w:color="auto"/>
        <w:right w:val="none" w:sz="0" w:space="0" w:color="auto"/>
      </w:divBdr>
      <w:divsChild>
        <w:div w:id="713312662">
          <w:marLeft w:val="0"/>
          <w:marRight w:val="0"/>
          <w:marTop w:val="0"/>
          <w:marBottom w:val="0"/>
          <w:divBdr>
            <w:top w:val="none" w:sz="0" w:space="0" w:color="auto"/>
            <w:left w:val="none" w:sz="0" w:space="0" w:color="auto"/>
            <w:bottom w:val="single" w:sz="12" w:space="0" w:color="EBEBEB"/>
            <w:right w:val="none" w:sz="0" w:space="0" w:color="auto"/>
          </w:divBdr>
          <w:divsChild>
            <w:div w:id="1989896766">
              <w:marLeft w:val="0"/>
              <w:marRight w:val="0"/>
              <w:marTop w:val="0"/>
              <w:marBottom w:val="0"/>
              <w:divBdr>
                <w:top w:val="none" w:sz="0" w:space="0" w:color="auto"/>
                <w:left w:val="none" w:sz="0" w:space="0" w:color="auto"/>
                <w:bottom w:val="none" w:sz="0" w:space="0" w:color="auto"/>
                <w:right w:val="none" w:sz="0" w:space="0" w:color="auto"/>
              </w:divBdr>
            </w:div>
            <w:div w:id="718556647">
              <w:marLeft w:val="0"/>
              <w:marRight w:val="0"/>
              <w:marTop w:val="0"/>
              <w:marBottom w:val="0"/>
              <w:divBdr>
                <w:top w:val="none" w:sz="0" w:space="0" w:color="auto"/>
                <w:left w:val="none" w:sz="0" w:space="0" w:color="auto"/>
                <w:bottom w:val="none" w:sz="0" w:space="0" w:color="auto"/>
                <w:right w:val="none" w:sz="0" w:space="0" w:color="auto"/>
              </w:divBdr>
              <w:divsChild>
                <w:div w:id="1202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9803</Characters>
  <Application>Microsoft Office Word</Application>
  <DocSecurity>0</DocSecurity>
  <Lines>81</Lines>
  <Paragraphs>22</Paragraphs>
  <ScaleCrop>false</ScaleCrop>
  <Company/>
  <LinksUpToDate>false</LinksUpToDate>
  <CharactersWithSpaces>11500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Ярмолюк Ирина Геннадьевна</dc:creator>
  <cp:keywords/>
  <dc:description/>
  <cp:lastModifiedBy>Ярмолюк Ирина Геннадьевна</cp:lastModifiedBy>
  <cp:revision>2</cp:revision>
  <dcterms:created xsi:type="dcterms:W3CDTF">2026-01-14T12:39:00Z</dcterms:created>
  <dcterms:modified xsi:type="dcterms:W3CDTF">2026-01-14T12:39:00Z</dcterms:modified>
</cp:coreProperties>
</file>