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F41F" w14:textId="27E8C901" w:rsidR="006655E4" w:rsidRPr="00156028" w:rsidRDefault="006655E4" w:rsidP="006655E4">
      <w:pPr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028">
        <w:rPr>
          <w:rFonts w:ascii="Times New Roman" w:hAnsi="Times New Roman" w:cs="Times New Roman"/>
          <w:b/>
          <w:sz w:val="24"/>
          <w:szCs w:val="24"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объекту </w:t>
      </w:r>
      <w:r w:rsidR="00C16A3F" w:rsidRPr="00156028">
        <w:rPr>
          <w:rFonts w:ascii="Times New Roman" w:hAnsi="Times New Roman" w:cs="Times New Roman"/>
          <w:b/>
          <w:sz w:val="24"/>
          <w:szCs w:val="24"/>
        </w:rPr>
        <w:t xml:space="preserve">«Реконструкция незавершенного законсервированного капитального строения предприятия по изготовлению специальных электродвигателей для лифтов </w:t>
      </w:r>
      <w:proofErr w:type="gramStart"/>
      <w:r w:rsidR="00C16A3F" w:rsidRPr="00156028">
        <w:rPr>
          <w:rFonts w:ascii="Times New Roman" w:hAnsi="Times New Roman" w:cs="Times New Roman"/>
          <w:b/>
          <w:sz w:val="24"/>
          <w:szCs w:val="24"/>
        </w:rPr>
        <w:t>под здание</w:t>
      </w:r>
      <w:proofErr w:type="gramEnd"/>
      <w:r w:rsidR="00C16A3F" w:rsidRPr="00156028">
        <w:rPr>
          <w:rFonts w:ascii="Times New Roman" w:hAnsi="Times New Roman" w:cs="Times New Roman"/>
          <w:b/>
          <w:sz w:val="24"/>
          <w:szCs w:val="24"/>
        </w:rPr>
        <w:t xml:space="preserve"> специализированное для производства строительных материалов с инженерно-транспортной инфраструктурой по Славгородскому шоссе в </w:t>
      </w:r>
      <w:proofErr w:type="spellStart"/>
      <w:r w:rsidR="00C16A3F" w:rsidRPr="00156028">
        <w:rPr>
          <w:rFonts w:ascii="Times New Roman" w:hAnsi="Times New Roman" w:cs="Times New Roman"/>
          <w:b/>
          <w:sz w:val="24"/>
          <w:szCs w:val="24"/>
        </w:rPr>
        <w:t>г.Могилеве</w:t>
      </w:r>
      <w:proofErr w:type="spellEnd"/>
      <w:r w:rsidR="00C16A3F" w:rsidRPr="00156028">
        <w:rPr>
          <w:rFonts w:ascii="Times New Roman" w:hAnsi="Times New Roman" w:cs="Times New Roman"/>
          <w:b/>
          <w:sz w:val="24"/>
          <w:szCs w:val="24"/>
        </w:rPr>
        <w:t>»</w:t>
      </w:r>
    </w:p>
    <w:p w14:paraId="119025A7" w14:textId="77777777" w:rsidR="006655E4" w:rsidRDefault="006655E4" w:rsidP="006655E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3F">
        <w:rPr>
          <w:rFonts w:ascii="Times New Roman" w:hAnsi="Times New Roman" w:cs="Times New Roman"/>
          <w:b/>
          <w:sz w:val="24"/>
          <w:szCs w:val="24"/>
        </w:rPr>
        <w:t>План-график работ по проведению оценки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3"/>
      </w:tblGrid>
      <w:tr w:rsidR="000C4D8A" w:rsidRPr="00FD443F" w14:paraId="5FFAE200" w14:textId="77777777" w:rsidTr="005261A2">
        <w:trPr>
          <w:trHeight w:val="136"/>
        </w:trPr>
        <w:tc>
          <w:tcPr>
            <w:tcW w:w="6091" w:type="dxa"/>
          </w:tcPr>
          <w:p w14:paraId="620129B8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 xml:space="preserve"> ОВОС</w:t>
            </w:r>
          </w:p>
        </w:tc>
        <w:tc>
          <w:tcPr>
            <w:tcW w:w="3253" w:type="dxa"/>
          </w:tcPr>
          <w:p w14:paraId="61AA5E92" w14:textId="29D89C44" w:rsidR="000C4D8A" w:rsidRPr="00772761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72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C4D8A" w:rsidRPr="00FD443F" w14:paraId="4CAF1B09" w14:textId="77777777" w:rsidTr="00C16A3F">
        <w:tc>
          <w:tcPr>
            <w:tcW w:w="6091" w:type="dxa"/>
          </w:tcPr>
          <w:p w14:paraId="36BD0779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предварительного информирования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юридических лиц</w:t>
            </w: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планируемой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хозяйственной и иной </w:t>
            </w: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253" w:type="dxa"/>
          </w:tcPr>
          <w:p w14:paraId="0CD46EE6" w14:textId="1ECDCD85" w:rsidR="000C4D8A" w:rsidRPr="00772761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EC60C9"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C0E09"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C0E09"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16A3F" w:rsidRP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C4D8A" w:rsidRPr="00FD443F" w14:paraId="04581096" w14:textId="77777777" w:rsidTr="00C16A3F">
        <w:tc>
          <w:tcPr>
            <w:tcW w:w="6091" w:type="dxa"/>
          </w:tcPr>
          <w:p w14:paraId="74AD0BEC" w14:textId="77777777" w:rsidR="000C4D8A" w:rsidRPr="00F1476B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уведомления о планируемой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хозяйственной и иной </w:t>
            </w: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B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253" w:type="dxa"/>
          </w:tcPr>
          <w:p w14:paraId="2DAF4CE7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26109C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0C4D8A" w:rsidRPr="00FD443F" w14:paraId="5AFB0FB4" w14:textId="77777777" w:rsidTr="00C16A3F">
        <w:tc>
          <w:tcPr>
            <w:tcW w:w="6091" w:type="dxa"/>
          </w:tcPr>
          <w:p w14:paraId="4180EAC9" w14:textId="77777777" w:rsidR="000C4D8A" w:rsidRPr="00C26821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уведомления о планируемой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хозяйственной </w:t>
            </w: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программы проведения ОВОС затрагиваемым сторонам*</w:t>
            </w:r>
          </w:p>
        </w:tc>
        <w:tc>
          <w:tcPr>
            <w:tcW w:w="3253" w:type="dxa"/>
          </w:tcPr>
          <w:p w14:paraId="09BC05E0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3A2896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33BD8A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0C4D8A" w:rsidRPr="00FD443F" w14:paraId="2C379E83" w14:textId="77777777" w:rsidTr="00C16A3F">
        <w:trPr>
          <w:trHeight w:val="56"/>
        </w:trPr>
        <w:tc>
          <w:tcPr>
            <w:tcW w:w="6091" w:type="dxa"/>
          </w:tcPr>
          <w:p w14:paraId="6C964B8C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 отчета об ОВОС</w:t>
            </w:r>
          </w:p>
        </w:tc>
        <w:tc>
          <w:tcPr>
            <w:tcW w:w="3253" w:type="dxa"/>
          </w:tcPr>
          <w:p w14:paraId="5CDD2DEC" w14:textId="177280FA" w:rsidR="000C4D8A" w:rsidRPr="0036352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BE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63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E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16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C4D8A" w:rsidRPr="00FD443F" w14:paraId="0ED12C44" w14:textId="77777777" w:rsidTr="00C16A3F">
        <w:tc>
          <w:tcPr>
            <w:tcW w:w="6091" w:type="dxa"/>
          </w:tcPr>
          <w:p w14:paraId="6CC8D104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отчета об ОВОС затрагиваемым сторонам*</w:t>
            </w:r>
          </w:p>
        </w:tc>
        <w:tc>
          <w:tcPr>
            <w:tcW w:w="3253" w:type="dxa"/>
          </w:tcPr>
          <w:p w14:paraId="6F0786F4" w14:textId="77777777" w:rsidR="000C4D8A" w:rsidRPr="00434804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4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434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0C4D8A" w:rsidRPr="00FD443F" w14:paraId="7ED29967" w14:textId="77777777" w:rsidTr="00C16A3F">
        <w:tc>
          <w:tcPr>
            <w:tcW w:w="6091" w:type="dxa"/>
          </w:tcPr>
          <w:p w14:paraId="099BD64B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общественных обсуждений (слушаний) на территории: Республики Беларусь</w:t>
            </w:r>
          </w:p>
          <w:p w14:paraId="3A78A774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BCED6C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Затрагиваемых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53" w:type="dxa"/>
          </w:tcPr>
          <w:p w14:paraId="07ED31BD" w14:textId="01E3BA63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BE1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3199C98C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D5C7F0" w14:textId="77777777" w:rsidR="000C4D8A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643859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C4D8A" w:rsidRPr="00FD443F" w14:paraId="7BC99CEE" w14:textId="77777777" w:rsidTr="00C16A3F">
        <w:tc>
          <w:tcPr>
            <w:tcW w:w="6091" w:type="dxa"/>
          </w:tcPr>
          <w:p w14:paraId="7053F3FC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253" w:type="dxa"/>
          </w:tcPr>
          <w:p w14:paraId="5FC3F638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FD44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C4D8A" w:rsidRPr="00FD443F" w14:paraId="52DA228C" w14:textId="77777777" w:rsidTr="00C16A3F">
        <w:tc>
          <w:tcPr>
            <w:tcW w:w="6091" w:type="dxa"/>
          </w:tcPr>
          <w:p w14:paraId="00964775" w14:textId="77777777" w:rsidR="000C4D8A" w:rsidRPr="00426C14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собрания по обсуждению отчета об ОВОС</w:t>
            </w:r>
          </w:p>
        </w:tc>
        <w:tc>
          <w:tcPr>
            <w:tcW w:w="3253" w:type="dxa"/>
          </w:tcPr>
          <w:p w14:paraId="204003AF" w14:textId="5F40EBE7" w:rsidR="000C4D8A" w:rsidRPr="00C26821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.2023 по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C4D8A" w:rsidRPr="00FD443F" w14:paraId="17DDE889" w14:textId="77777777" w:rsidTr="00C16A3F">
        <w:tc>
          <w:tcPr>
            <w:tcW w:w="6091" w:type="dxa"/>
          </w:tcPr>
          <w:p w14:paraId="156C2F43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отчета об ОВОС по замечаниям</w:t>
            </w:r>
          </w:p>
        </w:tc>
        <w:tc>
          <w:tcPr>
            <w:tcW w:w="3253" w:type="dxa"/>
          </w:tcPr>
          <w:p w14:paraId="725DE9C4" w14:textId="424DFBFF" w:rsidR="000C4D8A" w:rsidRPr="00FD443F" w:rsidRDefault="001F0EEF" w:rsidP="001F0EE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по 01.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</w:tr>
      <w:tr w:rsidR="000C4D8A" w:rsidRPr="00FD443F" w14:paraId="39DA0776" w14:textId="77777777" w:rsidTr="00C16A3F">
        <w:tc>
          <w:tcPr>
            <w:tcW w:w="6091" w:type="dxa"/>
          </w:tcPr>
          <w:p w14:paraId="372E8BA3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отчета об ОВОС в составе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предпроектной (предынвестиционной), </w:t>
            </w: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документации на государственную экологическую экспертизу</w:t>
            </w:r>
          </w:p>
        </w:tc>
        <w:tc>
          <w:tcPr>
            <w:tcW w:w="3253" w:type="dxa"/>
          </w:tcPr>
          <w:p w14:paraId="0FAFCB14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0E7017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F1A8A" w14:textId="132F941D" w:rsidR="000C4D8A" w:rsidRPr="001F0EE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4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553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534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C4D8A" w:rsidRPr="00FD443F" w14:paraId="489D0A09" w14:textId="77777777" w:rsidTr="00C16A3F">
        <w:tc>
          <w:tcPr>
            <w:tcW w:w="6091" w:type="dxa"/>
          </w:tcPr>
          <w:p w14:paraId="7C5CFFD9" w14:textId="77777777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253" w:type="dxa"/>
          </w:tcPr>
          <w:p w14:paraId="16D01AB3" w14:textId="20604234" w:rsidR="000C4D8A" w:rsidRPr="00FD443F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1F0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4B96E046" w14:textId="77777777" w:rsidR="006655E4" w:rsidRPr="00FD443F" w:rsidRDefault="006655E4" w:rsidP="006655E4">
      <w:pPr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FD443F">
        <w:rPr>
          <w:rFonts w:ascii="Times New Roman" w:hAnsi="Times New Roman" w:cs="Times New Roman"/>
          <w:i/>
          <w:sz w:val="24"/>
          <w:szCs w:val="24"/>
        </w:rPr>
        <w:t xml:space="preserve">*заполняется в случае, если планируемая </w:t>
      </w:r>
      <w:r>
        <w:rPr>
          <w:rFonts w:ascii="Times New Roman" w:hAnsi="Times New Roman" w:cs="Times New Roman"/>
          <w:i/>
          <w:sz w:val="24"/>
          <w:szCs w:val="24"/>
        </w:rPr>
        <w:t xml:space="preserve">хозяйственная и иная деятельность </w:t>
      </w:r>
      <w:r w:rsidRPr="00FD443F">
        <w:rPr>
          <w:rFonts w:ascii="Times New Roman" w:hAnsi="Times New Roman" w:cs="Times New Roman"/>
          <w:i/>
          <w:sz w:val="24"/>
          <w:szCs w:val="24"/>
        </w:rPr>
        <w:t xml:space="preserve">может оказывать значительное вредное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трансграничное </w:t>
      </w:r>
      <w:r w:rsidRPr="00FD443F">
        <w:rPr>
          <w:rFonts w:ascii="Times New Roman" w:hAnsi="Times New Roman" w:cs="Times New Roman"/>
          <w:i/>
          <w:sz w:val="24"/>
          <w:szCs w:val="24"/>
        </w:rPr>
        <w:t xml:space="preserve">воздействие </w:t>
      </w:r>
    </w:p>
    <w:p w14:paraId="68062A09" w14:textId="77777777" w:rsidR="00517186" w:rsidRPr="00D05C3F" w:rsidRDefault="00517186" w:rsidP="00D05C3F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3F">
        <w:rPr>
          <w:rFonts w:ascii="Times New Roman" w:hAnsi="Times New Roman" w:cs="Times New Roman"/>
          <w:b/>
          <w:sz w:val="24"/>
          <w:szCs w:val="24"/>
        </w:rPr>
        <w:t>Сведения о планируемой хозяйственной и иной деятельности</w:t>
      </w:r>
    </w:p>
    <w:p w14:paraId="4F87890A" w14:textId="182FB2C9" w:rsidR="00517186" w:rsidRPr="00D05C3F" w:rsidRDefault="00517186" w:rsidP="00D05C3F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3F">
        <w:rPr>
          <w:rFonts w:ascii="Times New Roman" w:hAnsi="Times New Roman" w:cs="Times New Roman"/>
          <w:b/>
          <w:sz w:val="24"/>
          <w:szCs w:val="24"/>
        </w:rPr>
        <w:t>Заказчик планируемой деятельности:</w:t>
      </w:r>
      <w:r w:rsidR="00D05C3F" w:rsidRPr="00D05C3F">
        <w:rPr>
          <w:rFonts w:ascii="Times New Roman" w:hAnsi="Times New Roman" w:cs="Times New Roman"/>
          <w:b/>
          <w:sz w:val="24"/>
          <w:szCs w:val="24"/>
        </w:rPr>
        <w:t xml:space="preserve"> Частное производственное унитарное предприятие «</w:t>
      </w:r>
      <w:proofErr w:type="spellStart"/>
      <w:r w:rsidR="00D05C3F" w:rsidRPr="00D05C3F">
        <w:rPr>
          <w:rFonts w:ascii="Times New Roman" w:hAnsi="Times New Roman" w:cs="Times New Roman"/>
          <w:b/>
          <w:sz w:val="24"/>
          <w:szCs w:val="24"/>
        </w:rPr>
        <w:t>Базальтум</w:t>
      </w:r>
      <w:proofErr w:type="spellEnd"/>
      <w:r w:rsidR="00D05C3F" w:rsidRPr="00D05C3F">
        <w:rPr>
          <w:rFonts w:ascii="Times New Roman" w:hAnsi="Times New Roman" w:cs="Times New Roman"/>
          <w:b/>
          <w:sz w:val="24"/>
          <w:szCs w:val="24"/>
        </w:rPr>
        <w:t>» (ЧПУП «</w:t>
      </w:r>
      <w:proofErr w:type="spellStart"/>
      <w:r w:rsidR="00D05C3F" w:rsidRPr="00D05C3F">
        <w:rPr>
          <w:rFonts w:ascii="Times New Roman" w:hAnsi="Times New Roman" w:cs="Times New Roman"/>
          <w:b/>
          <w:sz w:val="24"/>
          <w:szCs w:val="24"/>
        </w:rPr>
        <w:t>Базальтум</w:t>
      </w:r>
      <w:proofErr w:type="spellEnd"/>
      <w:r w:rsidR="00D05C3F" w:rsidRPr="00D05C3F">
        <w:rPr>
          <w:rFonts w:ascii="Times New Roman" w:hAnsi="Times New Roman" w:cs="Times New Roman"/>
          <w:b/>
          <w:sz w:val="24"/>
          <w:szCs w:val="24"/>
        </w:rPr>
        <w:t>»)</w:t>
      </w:r>
    </w:p>
    <w:p w14:paraId="1DA12272" w14:textId="4AF8AA4C" w:rsidR="00517186" w:rsidRPr="00D05C3F" w:rsidRDefault="00517186" w:rsidP="00D05C3F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3F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="00D05C3F" w:rsidRPr="00D05C3F">
        <w:rPr>
          <w:rFonts w:ascii="Times New Roman" w:hAnsi="Times New Roman" w:cs="Times New Roman"/>
          <w:b/>
          <w:sz w:val="24"/>
          <w:szCs w:val="24"/>
        </w:rPr>
        <w:t xml:space="preserve">213105 Могилевская область, Могилевский район, </w:t>
      </w:r>
      <w:proofErr w:type="spellStart"/>
      <w:r w:rsidR="00D05C3F" w:rsidRPr="00D05C3F">
        <w:rPr>
          <w:rFonts w:ascii="Times New Roman" w:hAnsi="Times New Roman" w:cs="Times New Roman"/>
          <w:b/>
          <w:sz w:val="24"/>
          <w:szCs w:val="24"/>
        </w:rPr>
        <w:t>Вейнянский</w:t>
      </w:r>
      <w:proofErr w:type="spellEnd"/>
      <w:r w:rsidR="00D05C3F" w:rsidRPr="00D05C3F">
        <w:rPr>
          <w:rFonts w:ascii="Times New Roman" w:hAnsi="Times New Roman" w:cs="Times New Roman"/>
          <w:b/>
          <w:sz w:val="24"/>
          <w:szCs w:val="24"/>
        </w:rPr>
        <w:t xml:space="preserve"> сельсовет, </w:t>
      </w:r>
      <w:proofErr w:type="spellStart"/>
      <w:r w:rsidR="00D05C3F" w:rsidRPr="00D05C3F">
        <w:rPr>
          <w:rFonts w:ascii="Times New Roman" w:hAnsi="Times New Roman" w:cs="Times New Roman"/>
          <w:b/>
          <w:sz w:val="24"/>
          <w:szCs w:val="24"/>
        </w:rPr>
        <w:t>д.Затишье</w:t>
      </w:r>
      <w:proofErr w:type="spellEnd"/>
    </w:p>
    <w:p w14:paraId="49B332C6" w14:textId="433ED79E" w:rsidR="00517186" w:rsidRPr="00D05C3F" w:rsidRDefault="00517186" w:rsidP="00D05C3F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3F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  <w:r w:rsidR="00D05C3F" w:rsidRPr="00D05C3F">
        <w:rPr>
          <w:rFonts w:ascii="Times New Roman" w:hAnsi="Times New Roman" w:cs="Times New Roman"/>
          <w:b/>
          <w:sz w:val="24"/>
          <w:szCs w:val="24"/>
        </w:rPr>
        <w:t>тел.(факс) +375 (222) 77-77-00, 77-77-03, 77-77-01, 77-77-02</w:t>
      </w:r>
    </w:p>
    <w:p w14:paraId="7AAFBB14" w14:textId="4EDA5B5B" w:rsidR="00517186" w:rsidRPr="00D05C3F" w:rsidRDefault="00517186" w:rsidP="00D05C3F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3F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D05C3F" w:rsidRPr="00D05C3F">
        <w:rPr>
          <w:rFonts w:ascii="Times New Roman" w:hAnsi="Times New Roman" w:cs="Times New Roman"/>
          <w:b/>
          <w:sz w:val="24"/>
          <w:szCs w:val="24"/>
        </w:rPr>
        <w:t>bazaltum.mogilev@yandex.by</w:t>
      </w:r>
    </w:p>
    <w:p w14:paraId="4BED0F66" w14:textId="77777777" w:rsidR="006655E4" w:rsidRPr="00425855" w:rsidRDefault="006655E4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E6ED26" w14:textId="5AA4F404" w:rsidR="00FC0E09" w:rsidRDefault="00425855" w:rsidP="00FC0E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0E09">
        <w:rPr>
          <w:rFonts w:ascii="Times New Roman" w:hAnsi="Times New Roman"/>
          <w:sz w:val="24"/>
          <w:szCs w:val="24"/>
        </w:rPr>
        <w:t>П</w:t>
      </w:r>
      <w:r w:rsidR="00D24AB3" w:rsidRPr="00FC0E09">
        <w:rPr>
          <w:rFonts w:ascii="Times New Roman" w:hAnsi="Times New Roman"/>
          <w:sz w:val="24"/>
          <w:szCs w:val="24"/>
        </w:rPr>
        <w:t xml:space="preserve">ланируется организация </w:t>
      </w:r>
      <w:r w:rsidR="00FC0E09" w:rsidRPr="002054B1">
        <w:rPr>
          <w:rFonts w:ascii="Times New Roman" w:hAnsi="Times New Roman"/>
          <w:sz w:val="24"/>
          <w:szCs w:val="24"/>
        </w:rPr>
        <w:t xml:space="preserve">строительных материалов, </w:t>
      </w:r>
      <w:r w:rsidR="00FC0E09">
        <w:rPr>
          <w:rFonts w:ascii="Times New Roman" w:hAnsi="Times New Roman"/>
          <w:sz w:val="24"/>
          <w:szCs w:val="24"/>
        </w:rPr>
        <w:t>а</w:t>
      </w:r>
      <w:r w:rsidR="00FC0E09" w:rsidRPr="002054B1">
        <w:rPr>
          <w:rFonts w:ascii="Times New Roman" w:hAnsi="Times New Roman"/>
          <w:sz w:val="24"/>
          <w:szCs w:val="24"/>
        </w:rPr>
        <w:t xml:space="preserve"> именно:</w:t>
      </w:r>
      <w:r w:rsidR="00FC0E09">
        <w:rPr>
          <w:rFonts w:ascii="Times New Roman" w:hAnsi="Times New Roman"/>
          <w:sz w:val="24"/>
          <w:szCs w:val="24"/>
        </w:rPr>
        <w:t xml:space="preserve"> </w:t>
      </w:r>
      <w:r w:rsidR="00FC0E09" w:rsidRPr="00FC0E09">
        <w:rPr>
          <w:rFonts w:ascii="Times New Roman" w:hAnsi="Times New Roman"/>
          <w:sz w:val="24"/>
          <w:szCs w:val="24"/>
        </w:rPr>
        <w:t xml:space="preserve">плит из базальтовой ваты для применения в качестве утеплителя в строительстве. </w:t>
      </w:r>
      <w:r w:rsidR="00FC0E09" w:rsidRPr="002054B1">
        <w:rPr>
          <w:rFonts w:ascii="Times New Roman" w:hAnsi="Times New Roman"/>
          <w:sz w:val="24"/>
          <w:szCs w:val="24"/>
        </w:rPr>
        <w:t>Производственная программа:</w:t>
      </w:r>
      <w:r w:rsidR="00FC0E09">
        <w:rPr>
          <w:rFonts w:ascii="Times New Roman" w:hAnsi="Times New Roman"/>
          <w:sz w:val="24"/>
          <w:szCs w:val="24"/>
        </w:rPr>
        <w:t xml:space="preserve"> </w:t>
      </w:r>
      <w:r w:rsidR="00FC0E09" w:rsidRPr="002054B1">
        <w:rPr>
          <w:rFonts w:ascii="Times New Roman" w:hAnsi="Times New Roman"/>
          <w:sz w:val="24"/>
          <w:szCs w:val="24"/>
        </w:rPr>
        <w:t>35 000 тонн в год.</w:t>
      </w:r>
    </w:p>
    <w:p w14:paraId="2C7E3644" w14:textId="26F16318" w:rsidR="00D24AB3" w:rsidRPr="00425855" w:rsidRDefault="00D24AB3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F48F72" w14:textId="3E7DCA92" w:rsidR="00D24AB3" w:rsidRPr="00425855" w:rsidRDefault="00D24AB3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855">
        <w:rPr>
          <w:rFonts w:ascii="Times New Roman" w:hAnsi="Times New Roman" w:cs="Times New Roman"/>
          <w:sz w:val="24"/>
          <w:szCs w:val="24"/>
        </w:rPr>
        <w:t xml:space="preserve">В реконструируемом здании предусматривается установка комплектной технологической линии по производству </w:t>
      </w:r>
      <w:r w:rsidR="00FC0E09" w:rsidRPr="00FC0E09">
        <w:rPr>
          <w:rFonts w:ascii="Times New Roman" w:hAnsi="Times New Roman"/>
          <w:sz w:val="24"/>
          <w:szCs w:val="24"/>
        </w:rPr>
        <w:t>плит из базальтовой ваты</w:t>
      </w:r>
      <w:r w:rsidRPr="00425855">
        <w:rPr>
          <w:rFonts w:ascii="Times New Roman" w:hAnsi="Times New Roman" w:cs="Times New Roman"/>
          <w:sz w:val="24"/>
          <w:szCs w:val="24"/>
        </w:rPr>
        <w:t xml:space="preserve">, в том числе с </w:t>
      </w:r>
      <w:r w:rsidRPr="00425855">
        <w:rPr>
          <w:rFonts w:ascii="Times New Roman" w:hAnsi="Times New Roman" w:cs="Times New Roman"/>
          <w:sz w:val="24"/>
          <w:szCs w:val="24"/>
        </w:rPr>
        <w:lastRenderedPageBreak/>
        <w:t>оборудованием, предназначенным для очистки выбросов отработанного воздуха в атмосферу (</w:t>
      </w:r>
      <w:r w:rsidR="00FC0E09">
        <w:rPr>
          <w:rFonts w:ascii="Times New Roman" w:hAnsi="Times New Roman" w:cs="Times New Roman"/>
          <w:sz w:val="24"/>
          <w:szCs w:val="24"/>
        </w:rPr>
        <w:t>уловленные</w:t>
      </w:r>
      <w:r w:rsidRPr="00425855">
        <w:rPr>
          <w:rFonts w:ascii="Times New Roman" w:hAnsi="Times New Roman" w:cs="Times New Roman"/>
          <w:sz w:val="24"/>
          <w:szCs w:val="24"/>
        </w:rPr>
        <w:t xml:space="preserve"> от фильтров повторно возвращаются в цикл производства в качестве сырья).</w:t>
      </w:r>
    </w:p>
    <w:p w14:paraId="412FB97E" w14:textId="77777777" w:rsidR="00D24AB3" w:rsidRPr="00425855" w:rsidRDefault="00D24AB3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855">
        <w:rPr>
          <w:rFonts w:ascii="Times New Roman" w:hAnsi="Times New Roman" w:cs="Times New Roman"/>
          <w:sz w:val="24"/>
          <w:szCs w:val="24"/>
        </w:rPr>
        <w:t>В качестве основного сырья при производстве базальтового утеплителя планируется использовать:</w:t>
      </w:r>
    </w:p>
    <w:p w14:paraId="2F7BF986" w14:textId="77777777" w:rsidR="00FC0E09" w:rsidRPr="00FC0E09" w:rsidRDefault="00FC0E09" w:rsidP="00FC0E09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базальт;</w:t>
      </w:r>
    </w:p>
    <w:p w14:paraId="42204C71" w14:textId="77777777" w:rsidR="00FC0E09" w:rsidRPr="00FC0E09" w:rsidRDefault="00FC0E09" w:rsidP="00FC0E09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доломит;</w:t>
      </w:r>
    </w:p>
    <w:p w14:paraId="6C215ED1" w14:textId="77777777" w:rsidR="00FC0E09" w:rsidRPr="00FC0E09" w:rsidRDefault="00FC0E09" w:rsidP="00FC0E09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минеральный шлак,</w:t>
      </w:r>
    </w:p>
    <w:p w14:paraId="573F7AF9" w14:textId="77777777" w:rsidR="00FC0E09" w:rsidRPr="00FC0E09" w:rsidRDefault="00FC0E09" w:rsidP="00FC0E09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кокс;</w:t>
      </w:r>
    </w:p>
    <w:p w14:paraId="395D96D2" w14:textId="10D74873" w:rsidR="00FC0E09" w:rsidRPr="00FC0E09" w:rsidRDefault="00FC0E09" w:rsidP="00FC0E09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известняк (при необходимости)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5FCD4D" w14:textId="77777777" w:rsidR="00D24AB3" w:rsidRPr="00B42B2F" w:rsidRDefault="00D24AB3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2F">
        <w:rPr>
          <w:rFonts w:ascii="Times New Roman" w:hAnsi="Times New Roman" w:cs="Times New Roman"/>
          <w:sz w:val="24"/>
          <w:szCs w:val="24"/>
        </w:rPr>
        <w:t>Также в технологическом процессе будут использоваться:</w:t>
      </w:r>
    </w:p>
    <w:p w14:paraId="4953E91A" w14:textId="77777777" w:rsidR="00D24AB3" w:rsidRPr="00B42B2F" w:rsidRDefault="00D24AB3" w:rsidP="00836395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42B2F">
        <w:rPr>
          <w:rFonts w:ascii="Times New Roman" w:hAnsi="Times New Roman" w:cs="Times New Roman"/>
          <w:sz w:val="24"/>
          <w:szCs w:val="24"/>
        </w:rPr>
        <w:t>сжиженный кислород;</w:t>
      </w:r>
    </w:p>
    <w:p w14:paraId="3BB244E0" w14:textId="77777777" w:rsidR="000E4D98" w:rsidRPr="00B42B2F" w:rsidRDefault="005261A2" w:rsidP="00836395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42B2F">
        <w:rPr>
          <w:rFonts w:ascii="Times New Roman" w:hAnsi="Times New Roman" w:cs="Times New Roman"/>
          <w:sz w:val="24"/>
          <w:szCs w:val="24"/>
        </w:rPr>
        <w:t>сульфат аммония</w:t>
      </w:r>
      <w:r w:rsidR="000E4D98" w:rsidRPr="00B42B2F">
        <w:rPr>
          <w:rFonts w:ascii="Times New Roman" w:hAnsi="Times New Roman" w:cs="Times New Roman"/>
          <w:sz w:val="24"/>
          <w:szCs w:val="24"/>
        </w:rPr>
        <w:t>;</w:t>
      </w:r>
    </w:p>
    <w:p w14:paraId="3322541A" w14:textId="36B4797C" w:rsidR="00D24AB3" w:rsidRPr="00B42B2F" w:rsidRDefault="000E4D98" w:rsidP="00836395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42B2F">
        <w:rPr>
          <w:rFonts w:ascii="Times New Roman" w:hAnsi="Times New Roman" w:cs="Times New Roman"/>
          <w:sz w:val="24"/>
          <w:szCs w:val="24"/>
        </w:rPr>
        <w:t xml:space="preserve">фенолформальдегидная </w:t>
      </w:r>
      <w:r w:rsidR="00D24AB3" w:rsidRPr="00B42B2F">
        <w:rPr>
          <w:rFonts w:ascii="Times New Roman" w:hAnsi="Times New Roman" w:cs="Times New Roman"/>
          <w:sz w:val="24"/>
          <w:szCs w:val="24"/>
        </w:rPr>
        <w:t>смол</w:t>
      </w:r>
      <w:r w:rsidRPr="00B42B2F">
        <w:rPr>
          <w:rFonts w:ascii="Times New Roman" w:hAnsi="Times New Roman" w:cs="Times New Roman"/>
          <w:sz w:val="24"/>
          <w:szCs w:val="24"/>
        </w:rPr>
        <w:t>а</w:t>
      </w:r>
      <w:r w:rsidR="00D24AB3" w:rsidRPr="00B42B2F">
        <w:rPr>
          <w:rFonts w:ascii="Times New Roman" w:hAnsi="Times New Roman" w:cs="Times New Roman"/>
          <w:sz w:val="24"/>
          <w:szCs w:val="24"/>
        </w:rPr>
        <w:t>;</w:t>
      </w:r>
    </w:p>
    <w:p w14:paraId="47013220" w14:textId="77777777" w:rsidR="00D24AB3" w:rsidRPr="00B42B2F" w:rsidRDefault="00D24AB3" w:rsidP="00836395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42B2F">
        <w:rPr>
          <w:rFonts w:ascii="Times New Roman" w:hAnsi="Times New Roman" w:cs="Times New Roman"/>
          <w:sz w:val="24"/>
          <w:szCs w:val="24"/>
        </w:rPr>
        <w:t>масла;</w:t>
      </w:r>
    </w:p>
    <w:p w14:paraId="13ECD6CF" w14:textId="77777777" w:rsidR="00D24AB3" w:rsidRPr="00836395" w:rsidRDefault="00D24AB3" w:rsidP="00836395">
      <w:pPr>
        <w:pStyle w:val="a4"/>
        <w:numPr>
          <w:ilvl w:val="0"/>
          <w:numId w:val="11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395">
        <w:rPr>
          <w:rFonts w:ascii="Times New Roman" w:hAnsi="Times New Roman" w:cs="Times New Roman"/>
          <w:sz w:val="24"/>
          <w:szCs w:val="24"/>
        </w:rPr>
        <w:t>тара и упаковка.</w:t>
      </w:r>
    </w:p>
    <w:p w14:paraId="7FF98D3A" w14:textId="77777777" w:rsidR="00D24AB3" w:rsidRPr="00425855" w:rsidRDefault="00D24AB3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855">
        <w:rPr>
          <w:rFonts w:ascii="Times New Roman" w:hAnsi="Times New Roman" w:cs="Times New Roman"/>
          <w:sz w:val="24"/>
          <w:szCs w:val="24"/>
        </w:rPr>
        <w:t>А также топливно-энергетические ресурсы:</w:t>
      </w:r>
    </w:p>
    <w:p w14:paraId="23ABD598" w14:textId="77777777" w:rsidR="00D24AB3" w:rsidRPr="00836395" w:rsidRDefault="00D24AB3" w:rsidP="00836395">
      <w:pPr>
        <w:pStyle w:val="a4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395">
        <w:rPr>
          <w:rFonts w:ascii="Times New Roman" w:hAnsi="Times New Roman" w:cs="Times New Roman"/>
          <w:sz w:val="24"/>
          <w:szCs w:val="24"/>
        </w:rPr>
        <w:t>электрическая энергия;</w:t>
      </w:r>
    </w:p>
    <w:p w14:paraId="122DF4E0" w14:textId="77777777" w:rsidR="00D24AB3" w:rsidRPr="00836395" w:rsidRDefault="00D24AB3" w:rsidP="00836395">
      <w:pPr>
        <w:pStyle w:val="a4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395">
        <w:rPr>
          <w:rFonts w:ascii="Times New Roman" w:hAnsi="Times New Roman" w:cs="Times New Roman"/>
          <w:sz w:val="24"/>
          <w:szCs w:val="24"/>
        </w:rPr>
        <w:t>природный газ;</w:t>
      </w:r>
    </w:p>
    <w:p w14:paraId="0817E1E3" w14:textId="77777777" w:rsidR="00D24AB3" w:rsidRPr="00836395" w:rsidRDefault="00D24AB3" w:rsidP="00836395">
      <w:pPr>
        <w:pStyle w:val="a4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395">
        <w:rPr>
          <w:rFonts w:ascii="Times New Roman" w:hAnsi="Times New Roman" w:cs="Times New Roman"/>
          <w:sz w:val="24"/>
          <w:szCs w:val="24"/>
        </w:rPr>
        <w:t>вода (для хоз.-бытовых и производственных нужд);</w:t>
      </w:r>
    </w:p>
    <w:p w14:paraId="174170E6" w14:textId="77777777" w:rsidR="00D24AB3" w:rsidRPr="00836395" w:rsidRDefault="00D24AB3" w:rsidP="00836395">
      <w:pPr>
        <w:pStyle w:val="a4"/>
        <w:numPr>
          <w:ilvl w:val="0"/>
          <w:numId w:val="12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36395">
        <w:rPr>
          <w:rFonts w:ascii="Times New Roman" w:hAnsi="Times New Roman" w:cs="Times New Roman"/>
          <w:sz w:val="24"/>
          <w:szCs w:val="24"/>
        </w:rPr>
        <w:t>сжатый воздух.</w:t>
      </w:r>
    </w:p>
    <w:p w14:paraId="4494DA35" w14:textId="09A78182" w:rsidR="00D24AB3" w:rsidRPr="00425855" w:rsidRDefault="00D24AB3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855">
        <w:rPr>
          <w:rFonts w:ascii="Times New Roman" w:hAnsi="Times New Roman" w:cs="Times New Roman"/>
          <w:sz w:val="24"/>
          <w:szCs w:val="24"/>
        </w:rPr>
        <w:t>Все сырье и необходимые материалы будут доставляться на территорию проектируемого предприятия посредством автомобильного и железнодорожного транспорта, с организацией хранения требуемого количества в специально запроектированных местах хранения (с соблюдением требований к хранению).</w:t>
      </w:r>
    </w:p>
    <w:p w14:paraId="4BD845AD" w14:textId="77777777" w:rsidR="00D05C3F" w:rsidRPr="00425855" w:rsidRDefault="00D05C3F" w:rsidP="004258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7C93F7" w14:textId="77777777" w:rsidR="0067589F" w:rsidRPr="00D05C3F" w:rsidRDefault="0067589F" w:rsidP="0067589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C3F">
        <w:rPr>
          <w:rFonts w:ascii="Times New Roman" w:hAnsi="Times New Roman" w:cs="Times New Roman"/>
          <w:bCs/>
          <w:sz w:val="24"/>
          <w:szCs w:val="24"/>
        </w:rPr>
        <w:t>Целесообразность осуществления данного проекта состоит в следующем:</w:t>
      </w:r>
    </w:p>
    <w:p w14:paraId="3B42624D" w14:textId="77777777" w:rsidR="00D05C3F" w:rsidRPr="00D05C3F" w:rsidRDefault="00D05C3F" w:rsidP="00D05C3F">
      <w:pPr>
        <w:pStyle w:val="a6"/>
        <w:spacing w:before="120" w:after="0"/>
        <w:jc w:val="both"/>
        <w:rPr>
          <w:sz w:val="24"/>
          <w:szCs w:val="24"/>
          <w:lang w:val="ru-RU"/>
        </w:rPr>
      </w:pPr>
      <w:r w:rsidRPr="00D05C3F">
        <w:rPr>
          <w:sz w:val="24"/>
          <w:szCs w:val="24"/>
          <w:lang w:val="ru-RU"/>
        </w:rPr>
        <w:t>В результате реализации проекта ожидается следующие эффекты:</w:t>
      </w:r>
    </w:p>
    <w:p w14:paraId="110A68E6" w14:textId="77777777" w:rsidR="00FC0E09" w:rsidRPr="0059764E" w:rsidRDefault="00FC0E09" w:rsidP="00FC0E09">
      <w:pPr>
        <w:pStyle w:val="a6"/>
        <w:numPr>
          <w:ilvl w:val="0"/>
          <w:numId w:val="8"/>
        </w:numPr>
        <w:spacing w:before="120" w:after="0"/>
        <w:jc w:val="both"/>
        <w:rPr>
          <w:i/>
          <w:sz w:val="24"/>
          <w:szCs w:val="24"/>
        </w:rPr>
      </w:pPr>
      <w:proofErr w:type="spellStart"/>
      <w:r w:rsidRPr="0059764E">
        <w:rPr>
          <w:i/>
          <w:sz w:val="24"/>
          <w:szCs w:val="24"/>
        </w:rPr>
        <w:t>Технический</w:t>
      </w:r>
      <w:proofErr w:type="spellEnd"/>
      <w:r w:rsidRPr="0059764E">
        <w:rPr>
          <w:i/>
          <w:sz w:val="24"/>
          <w:szCs w:val="24"/>
        </w:rPr>
        <w:t>:</w:t>
      </w:r>
    </w:p>
    <w:p w14:paraId="5766F50D" w14:textId="77777777" w:rsidR="00FC0E09" w:rsidRPr="00FC0E09" w:rsidRDefault="00FC0E09" w:rsidP="00FC0E09">
      <w:pPr>
        <w:pStyle w:val="a6"/>
        <w:numPr>
          <w:ilvl w:val="0"/>
          <w:numId w:val="9"/>
        </w:numPr>
        <w:tabs>
          <w:tab w:val="left" w:pos="1618"/>
        </w:tabs>
        <w:spacing w:after="0"/>
        <w:ind w:left="601" w:hanging="425"/>
        <w:jc w:val="both"/>
        <w:rPr>
          <w:sz w:val="24"/>
          <w:szCs w:val="24"/>
          <w:lang w:val="ru-RU"/>
        </w:rPr>
      </w:pPr>
      <w:r w:rsidRPr="00FC0E09">
        <w:rPr>
          <w:iCs/>
          <w:sz w:val="24"/>
          <w:szCs w:val="24"/>
          <w:lang w:val="ru-RU"/>
        </w:rPr>
        <w:t xml:space="preserve">реконструкция незавершенного законсервированного капитального строения </w:t>
      </w:r>
      <w:r w:rsidRPr="00FC0E09">
        <w:rPr>
          <w:iCs/>
          <w:color w:val="000000" w:themeColor="text1"/>
          <w:sz w:val="24"/>
          <w:szCs w:val="24"/>
          <w:lang w:val="ru-RU"/>
        </w:rPr>
        <w:t>(с инвентарным номером 700/</w:t>
      </w:r>
      <w:r w:rsidRPr="00E41A5F">
        <w:rPr>
          <w:iCs/>
          <w:color w:val="000000" w:themeColor="text1"/>
          <w:sz w:val="24"/>
          <w:szCs w:val="24"/>
        </w:rPr>
        <w:t>U</w:t>
      </w:r>
      <w:r w:rsidRPr="00FC0E09">
        <w:rPr>
          <w:iCs/>
          <w:color w:val="000000" w:themeColor="text1"/>
          <w:sz w:val="24"/>
          <w:szCs w:val="24"/>
          <w:lang w:val="ru-RU"/>
        </w:rPr>
        <w:t>-65172)</w:t>
      </w:r>
      <w:r w:rsidRPr="00FC0E09">
        <w:rPr>
          <w:iCs/>
          <w:sz w:val="24"/>
          <w:szCs w:val="24"/>
          <w:lang w:val="ru-RU"/>
        </w:rPr>
        <w:t>;</w:t>
      </w:r>
    </w:p>
    <w:p w14:paraId="23D3E817" w14:textId="77777777" w:rsidR="00FC0E09" w:rsidRPr="00FC0E09" w:rsidRDefault="00FC0E09" w:rsidP="00FC0E09">
      <w:pPr>
        <w:pStyle w:val="a6"/>
        <w:numPr>
          <w:ilvl w:val="0"/>
          <w:numId w:val="9"/>
        </w:numPr>
        <w:tabs>
          <w:tab w:val="left" w:pos="1618"/>
        </w:tabs>
        <w:spacing w:after="0"/>
        <w:ind w:left="601" w:hanging="425"/>
        <w:jc w:val="both"/>
        <w:rPr>
          <w:sz w:val="24"/>
          <w:szCs w:val="24"/>
          <w:lang w:val="ru-RU"/>
        </w:rPr>
      </w:pPr>
      <w:r w:rsidRPr="00FC0E09">
        <w:rPr>
          <w:iCs/>
          <w:sz w:val="24"/>
          <w:szCs w:val="24"/>
          <w:lang w:val="ru-RU"/>
        </w:rPr>
        <w:t xml:space="preserve">освоение новой технологии производства и выпуск нового вида продукции: </w:t>
      </w:r>
      <w:r w:rsidRPr="00FC0E09">
        <w:rPr>
          <w:bCs/>
          <w:sz w:val="24"/>
          <w:szCs w:val="24"/>
          <w:lang w:val="ru-RU"/>
        </w:rPr>
        <w:t>строительных материалов, а именно плит из базальтовой ваты для применения в качестве утеплителя в строительстве</w:t>
      </w:r>
      <w:r w:rsidRPr="00FC0E09">
        <w:rPr>
          <w:iCs/>
          <w:sz w:val="24"/>
          <w:szCs w:val="24"/>
          <w:lang w:val="ru-RU"/>
        </w:rPr>
        <w:t>.</w:t>
      </w:r>
    </w:p>
    <w:p w14:paraId="137B7135" w14:textId="77777777" w:rsidR="00FC0E09" w:rsidRPr="00E41A5F" w:rsidRDefault="00FC0E09" w:rsidP="00FC0E09">
      <w:pPr>
        <w:pStyle w:val="a6"/>
        <w:numPr>
          <w:ilvl w:val="0"/>
          <w:numId w:val="8"/>
        </w:numPr>
        <w:spacing w:before="120" w:after="0"/>
        <w:jc w:val="both"/>
        <w:rPr>
          <w:sz w:val="24"/>
          <w:szCs w:val="24"/>
        </w:rPr>
      </w:pPr>
      <w:proofErr w:type="spellStart"/>
      <w:r w:rsidRPr="00E41A5F">
        <w:rPr>
          <w:i/>
          <w:sz w:val="24"/>
          <w:szCs w:val="24"/>
        </w:rPr>
        <w:t>Экономический</w:t>
      </w:r>
      <w:proofErr w:type="spellEnd"/>
      <w:r w:rsidRPr="00E41A5F">
        <w:rPr>
          <w:i/>
          <w:sz w:val="24"/>
          <w:szCs w:val="24"/>
        </w:rPr>
        <w:t>:</w:t>
      </w:r>
    </w:p>
    <w:p w14:paraId="01B2B03C" w14:textId="77777777" w:rsidR="00FC0E09" w:rsidRPr="00FC0E09" w:rsidRDefault="00FC0E09" w:rsidP="00FC0E09">
      <w:pPr>
        <w:pStyle w:val="a6"/>
        <w:numPr>
          <w:ilvl w:val="0"/>
          <w:numId w:val="9"/>
        </w:numPr>
        <w:tabs>
          <w:tab w:val="left" w:pos="1618"/>
        </w:tabs>
        <w:spacing w:after="0"/>
        <w:ind w:left="601" w:hanging="425"/>
        <w:jc w:val="both"/>
        <w:rPr>
          <w:sz w:val="24"/>
          <w:szCs w:val="24"/>
          <w:lang w:val="ru-RU"/>
        </w:rPr>
      </w:pPr>
      <w:r w:rsidRPr="00FC0E09">
        <w:rPr>
          <w:iCs/>
          <w:sz w:val="24"/>
          <w:szCs w:val="24"/>
          <w:lang w:val="ru-RU"/>
        </w:rPr>
        <w:t>получение</w:t>
      </w:r>
      <w:r w:rsidRPr="00FC0E09">
        <w:rPr>
          <w:sz w:val="24"/>
          <w:szCs w:val="24"/>
          <w:lang w:val="ru-RU"/>
        </w:rPr>
        <w:t xml:space="preserve"> прибыли от реализации импортозамещающей готовой продукции.</w:t>
      </w:r>
    </w:p>
    <w:p w14:paraId="3F1FA731" w14:textId="77777777" w:rsidR="00FC0E09" w:rsidRPr="00E41A5F" w:rsidRDefault="00FC0E09" w:rsidP="00FC0E09">
      <w:pPr>
        <w:pStyle w:val="a6"/>
        <w:numPr>
          <w:ilvl w:val="0"/>
          <w:numId w:val="8"/>
        </w:numPr>
        <w:spacing w:before="120" w:after="0"/>
        <w:jc w:val="both"/>
        <w:rPr>
          <w:sz w:val="24"/>
          <w:szCs w:val="24"/>
        </w:rPr>
      </w:pPr>
      <w:proofErr w:type="spellStart"/>
      <w:r w:rsidRPr="00E41A5F">
        <w:rPr>
          <w:i/>
          <w:sz w:val="24"/>
          <w:szCs w:val="24"/>
        </w:rPr>
        <w:t>Социальный</w:t>
      </w:r>
      <w:proofErr w:type="spellEnd"/>
      <w:r w:rsidRPr="00E41A5F">
        <w:rPr>
          <w:i/>
          <w:sz w:val="24"/>
          <w:szCs w:val="24"/>
        </w:rPr>
        <w:t>:</w:t>
      </w:r>
    </w:p>
    <w:p w14:paraId="3C5DE1E3" w14:textId="77777777" w:rsidR="00FC0E09" w:rsidRPr="00E41A5F" w:rsidRDefault="00FC0E09" w:rsidP="00FC0E09">
      <w:pPr>
        <w:pStyle w:val="a6"/>
        <w:numPr>
          <w:ilvl w:val="0"/>
          <w:numId w:val="9"/>
        </w:numPr>
        <w:tabs>
          <w:tab w:val="left" w:pos="1618"/>
        </w:tabs>
        <w:spacing w:after="0"/>
        <w:ind w:left="601" w:hanging="425"/>
        <w:jc w:val="both"/>
        <w:rPr>
          <w:iCs/>
          <w:sz w:val="24"/>
          <w:szCs w:val="24"/>
        </w:rPr>
      </w:pPr>
      <w:proofErr w:type="spellStart"/>
      <w:r w:rsidRPr="00E41A5F">
        <w:rPr>
          <w:iCs/>
          <w:sz w:val="24"/>
          <w:szCs w:val="24"/>
        </w:rPr>
        <w:t>создание</w:t>
      </w:r>
      <w:proofErr w:type="spellEnd"/>
      <w:r w:rsidRPr="00E41A5F">
        <w:rPr>
          <w:iCs/>
          <w:sz w:val="24"/>
          <w:szCs w:val="24"/>
        </w:rPr>
        <w:t xml:space="preserve"> </w:t>
      </w:r>
      <w:proofErr w:type="spellStart"/>
      <w:r w:rsidRPr="00E41A5F">
        <w:rPr>
          <w:iCs/>
          <w:sz w:val="24"/>
          <w:szCs w:val="24"/>
        </w:rPr>
        <w:t>новых</w:t>
      </w:r>
      <w:proofErr w:type="spellEnd"/>
      <w:r w:rsidRPr="00E41A5F">
        <w:rPr>
          <w:iCs/>
          <w:sz w:val="24"/>
          <w:szCs w:val="24"/>
        </w:rPr>
        <w:t xml:space="preserve"> </w:t>
      </w:r>
      <w:proofErr w:type="spellStart"/>
      <w:r w:rsidRPr="00E41A5F">
        <w:rPr>
          <w:iCs/>
          <w:sz w:val="24"/>
          <w:szCs w:val="24"/>
        </w:rPr>
        <w:t>рабочих</w:t>
      </w:r>
      <w:proofErr w:type="spellEnd"/>
      <w:r w:rsidRPr="00E41A5F">
        <w:rPr>
          <w:iCs/>
          <w:sz w:val="24"/>
          <w:szCs w:val="24"/>
        </w:rPr>
        <w:t xml:space="preserve"> </w:t>
      </w:r>
      <w:proofErr w:type="spellStart"/>
      <w:r w:rsidRPr="00E41A5F">
        <w:rPr>
          <w:iCs/>
          <w:sz w:val="24"/>
          <w:szCs w:val="24"/>
        </w:rPr>
        <w:t>мест</w:t>
      </w:r>
      <w:proofErr w:type="spellEnd"/>
      <w:r w:rsidRPr="00E41A5F">
        <w:rPr>
          <w:iCs/>
          <w:sz w:val="24"/>
          <w:szCs w:val="24"/>
        </w:rPr>
        <w:t>;</w:t>
      </w:r>
    </w:p>
    <w:p w14:paraId="78AF9F32" w14:textId="77777777" w:rsidR="00FC0E09" w:rsidRPr="00FC0E09" w:rsidRDefault="00FC0E09" w:rsidP="00FC0E09">
      <w:pPr>
        <w:pStyle w:val="a6"/>
        <w:numPr>
          <w:ilvl w:val="0"/>
          <w:numId w:val="9"/>
        </w:numPr>
        <w:tabs>
          <w:tab w:val="left" w:pos="1618"/>
        </w:tabs>
        <w:spacing w:after="0"/>
        <w:ind w:left="601" w:hanging="425"/>
        <w:jc w:val="both"/>
        <w:rPr>
          <w:iCs/>
          <w:sz w:val="24"/>
          <w:szCs w:val="24"/>
          <w:lang w:val="ru-RU"/>
        </w:rPr>
      </w:pPr>
      <w:r w:rsidRPr="00FC0E09">
        <w:rPr>
          <w:iCs/>
          <w:sz w:val="24"/>
          <w:szCs w:val="24"/>
          <w:lang w:val="ru-RU"/>
        </w:rPr>
        <w:t>дополнительное поступление налогов в бюджет.</w:t>
      </w:r>
    </w:p>
    <w:p w14:paraId="488C4684" w14:textId="77777777" w:rsidR="00D05C3F" w:rsidRPr="00D24AB3" w:rsidRDefault="00D05C3F" w:rsidP="00D05C3F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C6F27" w14:textId="77777777" w:rsidR="006655E4" w:rsidRDefault="006655E4" w:rsidP="006655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AB3">
        <w:rPr>
          <w:rFonts w:ascii="Times New Roman" w:hAnsi="Times New Roman" w:cs="Times New Roman"/>
          <w:sz w:val="24"/>
          <w:szCs w:val="24"/>
        </w:rPr>
        <w:t>В качестве альтернативных вариантов рассматривались:</w:t>
      </w:r>
    </w:p>
    <w:p w14:paraId="6E95EBF8" w14:textId="1410D149" w:rsidR="00FC0E09" w:rsidRPr="00FC0E09" w:rsidRDefault="00FC0E09" w:rsidP="00FC0E0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 xml:space="preserve">- Вариант 1: применение </w:t>
      </w:r>
      <w:proofErr w:type="spellStart"/>
      <w:r w:rsidRPr="00FC0E09">
        <w:rPr>
          <w:rFonts w:ascii="Times New Roman" w:hAnsi="Times New Roman" w:cs="Times New Roman"/>
          <w:sz w:val="24"/>
          <w:szCs w:val="24"/>
        </w:rPr>
        <w:t>газоко</w:t>
      </w:r>
      <w:r w:rsidR="009A2A89">
        <w:rPr>
          <w:rFonts w:ascii="Times New Roman" w:hAnsi="Times New Roman" w:cs="Times New Roman"/>
          <w:sz w:val="24"/>
          <w:szCs w:val="24"/>
        </w:rPr>
        <w:t>к</w:t>
      </w:r>
      <w:r w:rsidRPr="00FC0E09">
        <w:rPr>
          <w:rFonts w:ascii="Times New Roman" w:hAnsi="Times New Roman" w:cs="Times New Roman"/>
          <w:sz w:val="24"/>
          <w:szCs w:val="24"/>
        </w:rPr>
        <w:t>совой</w:t>
      </w:r>
      <w:proofErr w:type="spellEnd"/>
      <w:r w:rsidRPr="00FC0E09">
        <w:rPr>
          <w:rFonts w:ascii="Times New Roman" w:hAnsi="Times New Roman" w:cs="Times New Roman"/>
          <w:sz w:val="24"/>
          <w:szCs w:val="24"/>
        </w:rPr>
        <w:t xml:space="preserve"> (вагранной) печи для плавления базальта;</w:t>
      </w:r>
    </w:p>
    <w:p w14:paraId="088A6AA7" w14:textId="77777777" w:rsidR="00FC0E09" w:rsidRPr="00FC0E09" w:rsidRDefault="00FC0E09" w:rsidP="00FC0E0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- Вариант 2: применение электродуговой печи для плавления базальта;</w:t>
      </w:r>
    </w:p>
    <w:p w14:paraId="412A4F53" w14:textId="77777777" w:rsidR="00FC0E09" w:rsidRPr="00FC0E09" w:rsidRDefault="00FC0E09" w:rsidP="00FC0E0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- Вариант 3: плавление базальта на холодном дутье;</w:t>
      </w:r>
    </w:p>
    <w:p w14:paraId="0F320802" w14:textId="77777777" w:rsidR="00FC0E09" w:rsidRPr="00FC0E09" w:rsidRDefault="00FC0E09" w:rsidP="00FC0E0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>- Вариант 4: применение газовой печи для плавления базальта;</w:t>
      </w:r>
    </w:p>
    <w:p w14:paraId="0D69FAF0" w14:textId="051A3C8C" w:rsidR="00FC0E09" w:rsidRPr="00FC0E09" w:rsidRDefault="00FC0E09" w:rsidP="00FC0E0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E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0E09">
        <w:rPr>
          <w:rFonts w:ascii="Times New Roman" w:hAnsi="Times New Roman" w:cs="Times New Roman"/>
          <w:sz w:val="24"/>
          <w:szCs w:val="24"/>
        </w:rPr>
        <w:t>ариант 5: нулевой вариант – отказ от реализации строительства.</w:t>
      </w:r>
    </w:p>
    <w:p w14:paraId="09BE95F4" w14:textId="45CEEA4D" w:rsidR="00866243" w:rsidRPr="00D24AB3" w:rsidRDefault="00866243" w:rsidP="0086624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AB3">
        <w:rPr>
          <w:rFonts w:ascii="Times New Roman" w:hAnsi="Times New Roman" w:cs="Times New Roman"/>
          <w:sz w:val="24"/>
          <w:szCs w:val="24"/>
        </w:rPr>
        <w:t xml:space="preserve">Другие альтернативные площадки размещения проектируемого объекта не рассматривались, поскольку проектируемое производство </w:t>
      </w:r>
      <w:r w:rsidR="0016472B" w:rsidRPr="00D24AB3">
        <w:rPr>
          <w:rFonts w:ascii="Times New Roman" w:hAnsi="Times New Roman" w:cs="Times New Roman"/>
          <w:sz w:val="24"/>
          <w:szCs w:val="24"/>
        </w:rPr>
        <w:t xml:space="preserve">располагается в свободной экономической зоне г. Могилева, которая обеспечивает проектируемое производство финансовой выгодой, удобным транспортным соединением. </w:t>
      </w:r>
      <w:r w:rsidRPr="00D24AB3">
        <w:rPr>
          <w:rFonts w:ascii="Times New Roman" w:hAnsi="Times New Roman" w:cs="Times New Roman"/>
          <w:sz w:val="24"/>
          <w:szCs w:val="24"/>
        </w:rPr>
        <w:t xml:space="preserve">Следовательно, альтернативные </w:t>
      </w:r>
      <w:r w:rsidRPr="00D24AB3">
        <w:rPr>
          <w:rFonts w:ascii="Times New Roman" w:hAnsi="Times New Roman" w:cs="Times New Roman"/>
          <w:sz w:val="24"/>
          <w:szCs w:val="24"/>
        </w:rPr>
        <w:lastRenderedPageBreak/>
        <w:t>площадки размещения проектируемого объекта, расположенные на удалении от существующего предприятия, экономически не выгодны.</w:t>
      </w:r>
    </w:p>
    <w:p w14:paraId="6E204ECB" w14:textId="3B927B7C" w:rsidR="00F12C76" w:rsidRPr="00D24AB3" w:rsidRDefault="00F57D49" w:rsidP="00F57D49">
      <w:pPr>
        <w:spacing w:after="0" w:line="240" w:lineRule="auto"/>
        <w:ind w:right="-284" w:firstLine="851"/>
        <w:jc w:val="both"/>
        <w:rPr>
          <w:sz w:val="24"/>
          <w:szCs w:val="24"/>
        </w:rPr>
      </w:pPr>
      <w:r w:rsidRPr="00D24AB3">
        <w:rPr>
          <w:rFonts w:ascii="Times New Roman" w:hAnsi="Times New Roman" w:cs="Times New Roman"/>
          <w:sz w:val="24"/>
          <w:szCs w:val="24"/>
        </w:rPr>
        <w:t>В результате анализа альтернативных вариантов сделан вывод:</w:t>
      </w:r>
      <w:r w:rsidR="006655E4" w:rsidRPr="00D24AB3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Pr="00D24AB3">
        <w:rPr>
          <w:rFonts w:ascii="Times New Roman" w:hAnsi="Times New Roman" w:cs="Times New Roman"/>
          <w:sz w:val="24"/>
          <w:szCs w:val="24"/>
        </w:rPr>
        <w:t>1</w:t>
      </w:r>
      <w:r w:rsidR="006655E4" w:rsidRPr="00D24AB3">
        <w:rPr>
          <w:rFonts w:ascii="Times New Roman" w:hAnsi="Times New Roman" w:cs="Times New Roman"/>
          <w:sz w:val="24"/>
          <w:szCs w:val="24"/>
        </w:rPr>
        <w:t xml:space="preserve"> «</w:t>
      </w:r>
      <w:r w:rsidR="00FC0E09">
        <w:rPr>
          <w:rFonts w:ascii="Times New Roman" w:hAnsi="Times New Roman" w:cs="Times New Roman"/>
          <w:sz w:val="24"/>
          <w:szCs w:val="24"/>
        </w:rPr>
        <w:t>Р</w:t>
      </w:r>
      <w:r w:rsidR="0016472B" w:rsidRPr="00D24AB3">
        <w:rPr>
          <w:rFonts w:ascii="Times New Roman" w:hAnsi="Times New Roman" w:cs="Times New Roman"/>
          <w:sz w:val="24"/>
          <w:szCs w:val="24"/>
        </w:rPr>
        <w:t xml:space="preserve">еконструкция незавершенного законсервированного капитального строения предприятия по изготовлению специальных электродвигателей для лифтов </w:t>
      </w:r>
      <w:proofErr w:type="gramStart"/>
      <w:r w:rsidR="0016472B" w:rsidRPr="00D24AB3">
        <w:rPr>
          <w:rFonts w:ascii="Times New Roman" w:hAnsi="Times New Roman" w:cs="Times New Roman"/>
          <w:sz w:val="24"/>
          <w:szCs w:val="24"/>
        </w:rPr>
        <w:t>под здание</w:t>
      </w:r>
      <w:proofErr w:type="gramEnd"/>
      <w:r w:rsidR="0016472B" w:rsidRPr="00D24AB3">
        <w:rPr>
          <w:rFonts w:ascii="Times New Roman" w:hAnsi="Times New Roman" w:cs="Times New Roman"/>
          <w:sz w:val="24"/>
          <w:szCs w:val="24"/>
        </w:rPr>
        <w:t xml:space="preserve"> специализированное для производства строительных материалов с инженерно-транспортной инфраструктурой по Славгородскому шоссе в </w:t>
      </w:r>
      <w:proofErr w:type="spellStart"/>
      <w:r w:rsidR="0016472B" w:rsidRPr="00D24AB3">
        <w:rPr>
          <w:rFonts w:ascii="Times New Roman" w:hAnsi="Times New Roman" w:cs="Times New Roman"/>
          <w:sz w:val="24"/>
          <w:szCs w:val="24"/>
        </w:rPr>
        <w:t>г.Могилеве</w:t>
      </w:r>
      <w:proofErr w:type="spellEnd"/>
      <w:r w:rsidR="006655E4" w:rsidRPr="00D24AB3">
        <w:rPr>
          <w:rFonts w:ascii="Times New Roman" w:hAnsi="Times New Roman" w:cs="Times New Roman"/>
          <w:sz w:val="24"/>
          <w:szCs w:val="24"/>
        </w:rPr>
        <w:t>» является приоритетным вариантом планируемой хозяйственной деятельности. При его реализации трансформация основных компонентов окружающей среды минимальна, в пределах допустимых нормативов, а по производственно-экономическим и социальным показателям обладает положительным эффектом.</w:t>
      </w:r>
    </w:p>
    <w:sectPr w:rsidR="00F12C76" w:rsidRPr="00D24AB3" w:rsidSect="00AC58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FA6"/>
    <w:multiLevelType w:val="hybridMultilevel"/>
    <w:tmpl w:val="71321A44"/>
    <w:lvl w:ilvl="0" w:tplc="22DA46CA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0567"/>
    <w:multiLevelType w:val="hybridMultilevel"/>
    <w:tmpl w:val="E356DA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E2351"/>
    <w:multiLevelType w:val="hybridMultilevel"/>
    <w:tmpl w:val="1C4874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5A4C93"/>
    <w:multiLevelType w:val="hybridMultilevel"/>
    <w:tmpl w:val="C0AABEC2"/>
    <w:lvl w:ilvl="0" w:tplc="B5702724">
      <w:start w:val="1"/>
      <w:numFmt w:val="upperRoman"/>
      <w:lvlText w:val="%1."/>
      <w:lvlJc w:val="right"/>
      <w:pPr>
        <w:ind w:left="720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4490"/>
    <w:multiLevelType w:val="hybridMultilevel"/>
    <w:tmpl w:val="115A1122"/>
    <w:lvl w:ilvl="0" w:tplc="4992F0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25602"/>
    <w:multiLevelType w:val="hybridMultilevel"/>
    <w:tmpl w:val="AEAC8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1E8A"/>
    <w:multiLevelType w:val="hybridMultilevel"/>
    <w:tmpl w:val="81D09EA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E0470B"/>
    <w:multiLevelType w:val="hybridMultilevel"/>
    <w:tmpl w:val="6B14771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C41482"/>
    <w:multiLevelType w:val="hybridMultilevel"/>
    <w:tmpl w:val="F3047A0C"/>
    <w:lvl w:ilvl="0" w:tplc="18AAAB6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0249"/>
    <w:multiLevelType w:val="hybridMultilevel"/>
    <w:tmpl w:val="9202E1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D432E02"/>
    <w:multiLevelType w:val="hybridMultilevel"/>
    <w:tmpl w:val="730061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A45FB5"/>
    <w:multiLevelType w:val="hybridMultilevel"/>
    <w:tmpl w:val="167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35533"/>
    <w:multiLevelType w:val="hybridMultilevel"/>
    <w:tmpl w:val="98186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1146C4"/>
    <w:multiLevelType w:val="hybridMultilevel"/>
    <w:tmpl w:val="41420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54567033">
    <w:abstractNumId w:val="10"/>
  </w:num>
  <w:num w:numId="2" w16cid:durableId="801969986">
    <w:abstractNumId w:val="13"/>
  </w:num>
  <w:num w:numId="3" w16cid:durableId="1430663070">
    <w:abstractNumId w:val="5"/>
  </w:num>
  <w:num w:numId="4" w16cid:durableId="171997804">
    <w:abstractNumId w:val="8"/>
  </w:num>
  <w:num w:numId="5" w16cid:durableId="1133863314">
    <w:abstractNumId w:val="11"/>
  </w:num>
  <w:num w:numId="6" w16cid:durableId="334575110">
    <w:abstractNumId w:val="0"/>
  </w:num>
  <w:num w:numId="7" w16cid:durableId="685327880">
    <w:abstractNumId w:val="4"/>
  </w:num>
  <w:num w:numId="8" w16cid:durableId="1565944407">
    <w:abstractNumId w:val="3"/>
  </w:num>
  <w:num w:numId="9" w16cid:durableId="914514623">
    <w:abstractNumId w:val="1"/>
  </w:num>
  <w:num w:numId="10" w16cid:durableId="1575318252">
    <w:abstractNumId w:val="2"/>
  </w:num>
  <w:num w:numId="11" w16cid:durableId="1816487173">
    <w:abstractNumId w:val="9"/>
  </w:num>
  <w:num w:numId="12" w16cid:durableId="860970428">
    <w:abstractNumId w:val="6"/>
  </w:num>
  <w:num w:numId="13" w16cid:durableId="2091077636">
    <w:abstractNumId w:val="12"/>
  </w:num>
  <w:num w:numId="14" w16cid:durableId="1155878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E4"/>
    <w:rsid w:val="000C45C9"/>
    <w:rsid w:val="000C4D8A"/>
    <w:rsid w:val="000E4D98"/>
    <w:rsid w:val="00156028"/>
    <w:rsid w:val="0016472B"/>
    <w:rsid w:val="001D4F27"/>
    <w:rsid w:val="001F0EEF"/>
    <w:rsid w:val="00425855"/>
    <w:rsid w:val="00517186"/>
    <w:rsid w:val="005261A2"/>
    <w:rsid w:val="00563B3B"/>
    <w:rsid w:val="00620889"/>
    <w:rsid w:val="006655E4"/>
    <w:rsid w:val="0067589F"/>
    <w:rsid w:val="00693A98"/>
    <w:rsid w:val="006A7E61"/>
    <w:rsid w:val="006C0B77"/>
    <w:rsid w:val="007E5A38"/>
    <w:rsid w:val="008242FF"/>
    <w:rsid w:val="00836395"/>
    <w:rsid w:val="00866243"/>
    <w:rsid w:val="00870751"/>
    <w:rsid w:val="008A26C3"/>
    <w:rsid w:val="00922C48"/>
    <w:rsid w:val="009A2A89"/>
    <w:rsid w:val="00A816F4"/>
    <w:rsid w:val="00A83135"/>
    <w:rsid w:val="00AC58B3"/>
    <w:rsid w:val="00B42B2F"/>
    <w:rsid w:val="00B915B7"/>
    <w:rsid w:val="00BB0AD7"/>
    <w:rsid w:val="00BE147C"/>
    <w:rsid w:val="00C16A3F"/>
    <w:rsid w:val="00C31B7F"/>
    <w:rsid w:val="00D05C3F"/>
    <w:rsid w:val="00D24AB3"/>
    <w:rsid w:val="00DE5EE2"/>
    <w:rsid w:val="00EA59DF"/>
    <w:rsid w:val="00EC60C9"/>
    <w:rsid w:val="00EE4070"/>
    <w:rsid w:val="00F12C76"/>
    <w:rsid w:val="00F57D49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AD5"/>
  <w15:chartTrackingRefBased/>
  <w15:docId w15:val="{361736F1-853D-4568-8187-4CE2F1E3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Nadpis 2a,Абзац с отступом,ERP-List Paragraph,List Paragraph11,Bullet EY,List Paragraph1,PXP Listenaufzählung Variante 1,List para,References,List Paragraph (numbered (a)),List_Paragraph,Multilevel para_II"/>
    <w:basedOn w:val="a"/>
    <w:link w:val="a5"/>
    <w:uiPriority w:val="34"/>
    <w:qFormat/>
    <w:rsid w:val="0067589F"/>
    <w:pPr>
      <w:spacing w:after="0" w:line="360" w:lineRule="auto"/>
      <w:ind w:left="720"/>
      <w:jc w:val="both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Абзац списка для документа Знак,Nadpis 2a Знак,Абзац с отступом Знак,ERP-List Paragraph Знак,List Paragraph11 Знак,Bullet EY Знак,List Paragraph1 Знак,PXP Listenaufzählung Variante 1 Знак,List para Знак,References Знак"/>
    <w:link w:val="a4"/>
    <w:uiPriority w:val="34"/>
    <w:qFormat/>
    <w:rsid w:val="0067589F"/>
    <w:rPr>
      <w:rFonts w:ascii="Calibri" w:eastAsia="Calibri" w:hAnsi="Calibri" w:cs="Calibri"/>
    </w:rPr>
  </w:style>
  <w:style w:type="paragraph" w:styleId="a6">
    <w:name w:val="Body Text"/>
    <w:aliases w:val=" Знак6,Знак6"/>
    <w:basedOn w:val="a"/>
    <w:link w:val="a7"/>
    <w:uiPriority w:val="99"/>
    <w:qFormat/>
    <w:rsid w:val="00D05C3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Знак"/>
    <w:aliases w:val=" Знак6 Знак,Знак6 Знак"/>
    <w:basedOn w:val="a0"/>
    <w:link w:val="a6"/>
    <w:uiPriority w:val="99"/>
    <w:rsid w:val="00D05C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Lukshyts</cp:lastModifiedBy>
  <cp:revision>15</cp:revision>
  <dcterms:created xsi:type="dcterms:W3CDTF">2022-04-26T06:44:00Z</dcterms:created>
  <dcterms:modified xsi:type="dcterms:W3CDTF">2024-06-24T12:29:00Z</dcterms:modified>
</cp:coreProperties>
</file>