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4656" w14:textId="77777777" w:rsidR="00643011" w:rsidRPr="00643011" w:rsidRDefault="00643011" w:rsidP="006430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011">
        <w:rPr>
          <w:rFonts w:ascii="Times New Roman" w:hAnsi="Times New Roman" w:cs="Times New Roman"/>
          <w:b/>
          <w:bCs/>
          <w:sz w:val="28"/>
          <w:szCs w:val="28"/>
        </w:rPr>
        <w:t>Комментарий МНС к Закону Республики Беларусь от 27.12.2023 № 327-З «Об изменении законов по вопросам налогообложения» в части транспортного налога с организаций</w:t>
      </w:r>
    </w:p>
    <w:p w14:paraId="6AA202D8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 xml:space="preserve">Внесены корректировки в пункт 1 статьи 307-1 Налогового кодекса Республики Беларусь (далее — Налоговый кодекс) и в статью 307-9 Налогового кодекса для уточнения плательщика транспортного налога в случае, когда лизингополучатель заключает договор </w:t>
      </w:r>
      <w:proofErr w:type="spellStart"/>
      <w:r w:rsidRPr="00643011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643011">
        <w:rPr>
          <w:rFonts w:ascii="Times New Roman" w:hAnsi="Times New Roman" w:cs="Times New Roman"/>
          <w:sz w:val="28"/>
          <w:szCs w:val="28"/>
        </w:rPr>
        <w:t xml:space="preserve"> и передает транспортное средство </w:t>
      </w:r>
      <w:proofErr w:type="spellStart"/>
      <w:r w:rsidRPr="00643011">
        <w:rPr>
          <w:rFonts w:ascii="Times New Roman" w:hAnsi="Times New Roman" w:cs="Times New Roman"/>
          <w:sz w:val="28"/>
          <w:szCs w:val="28"/>
        </w:rPr>
        <w:t>сублизингополучателю</w:t>
      </w:r>
      <w:proofErr w:type="spellEnd"/>
      <w:r w:rsidRPr="00643011">
        <w:rPr>
          <w:rFonts w:ascii="Times New Roman" w:hAnsi="Times New Roman" w:cs="Times New Roman"/>
          <w:sz w:val="28"/>
          <w:szCs w:val="28"/>
        </w:rPr>
        <w:t xml:space="preserve">. В таком случае плательщиком транспортного налога с 2024 г. признается </w:t>
      </w:r>
      <w:proofErr w:type="spellStart"/>
      <w:r w:rsidRPr="00643011">
        <w:rPr>
          <w:rFonts w:ascii="Times New Roman" w:hAnsi="Times New Roman" w:cs="Times New Roman"/>
          <w:sz w:val="28"/>
          <w:szCs w:val="28"/>
        </w:rPr>
        <w:t>сублизингополучатель</w:t>
      </w:r>
      <w:proofErr w:type="spellEnd"/>
      <w:r w:rsidRPr="00643011">
        <w:rPr>
          <w:rFonts w:ascii="Times New Roman" w:hAnsi="Times New Roman" w:cs="Times New Roman"/>
          <w:sz w:val="28"/>
          <w:szCs w:val="28"/>
        </w:rPr>
        <w:t>.</w:t>
      </w:r>
    </w:p>
    <w:p w14:paraId="6453FBBF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>В статье 307-9 Налогового кодекса установлена обязанность для организаций-</w:t>
      </w:r>
      <w:proofErr w:type="spellStart"/>
      <w:r w:rsidRPr="00643011">
        <w:rPr>
          <w:rFonts w:ascii="Times New Roman" w:hAnsi="Times New Roman" w:cs="Times New Roman"/>
          <w:sz w:val="28"/>
          <w:szCs w:val="28"/>
        </w:rPr>
        <w:t>сублизингодателей</w:t>
      </w:r>
      <w:proofErr w:type="spellEnd"/>
      <w:r w:rsidRPr="00643011">
        <w:rPr>
          <w:rFonts w:ascii="Times New Roman" w:hAnsi="Times New Roman" w:cs="Times New Roman"/>
          <w:sz w:val="28"/>
          <w:szCs w:val="28"/>
        </w:rPr>
        <w:t xml:space="preserve"> начиная с 2024 г. по представлению в налоговый орган по установленным Министерством по налогам и сборам формам и форматам в виде электронного документа сведений о транспортных средствах, переданных иным организациям или физическим лицам по договорам </w:t>
      </w:r>
      <w:proofErr w:type="spellStart"/>
      <w:r w:rsidRPr="00643011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643011">
        <w:rPr>
          <w:rFonts w:ascii="Times New Roman" w:hAnsi="Times New Roman" w:cs="Times New Roman"/>
          <w:sz w:val="28"/>
          <w:szCs w:val="28"/>
        </w:rPr>
        <w:t>.</w:t>
      </w:r>
    </w:p>
    <w:p w14:paraId="04EDC214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>За 2024 г. организации-лизингодатели, организации-</w:t>
      </w:r>
      <w:proofErr w:type="spellStart"/>
      <w:r w:rsidRPr="00643011">
        <w:rPr>
          <w:rFonts w:ascii="Times New Roman" w:hAnsi="Times New Roman" w:cs="Times New Roman"/>
          <w:sz w:val="28"/>
          <w:szCs w:val="28"/>
        </w:rPr>
        <w:t>сублизингодатели</w:t>
      </w:r>
      <w:proofErr w:type="spellEnd"/>
      <w:r w:rsidRPr="00643011">
        <w:rPr>
          <w:rFonts w:ascii="Times New Roman" w:hAnsi="Times New Roman" w:cs="Times New Roman"/>
          <w:sz w:val="28"/>
          <w:szCs w:val="28"/>
        </w:rPr>
        <w:t xml:space="preserve"> должны представить установленные статьей 307-9 Налогового кодекса для каждой из этих категорий организаций сведения не позднее 10 января 2025 г.</w:t>
      </w:r>
    </w:p>
    <w:p w14:paraId="303B3E20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>Проиндексированы ставки транспортного налога, установленные согласно приложению 27 к Налоговому кодексу, в белорусских рублях.</w:t>
      </w:r>
    </w:p>
    <w:p w14:paraId="6BCB28B0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>Пункт 2 статьи 307-7 Налогового кодекса дополнен нормами, предусматривающими исчисление транспортного налога (включая авансовые платежи) по транспортным средствам, с года выпуска которых прошло не более 3 лет, включенным в перечень транспортных средств повышенной комфортности, определяемый Советом Министров Республики Беларусь, по ставкам, увеличенным в 10 раз.</w:t>
      </w:r>
    </w:p>
    <w:p w14:paraId="6BE4EAAF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>Одним из новшеств 2024 г. является то, что при исчислении и уплате авансовых платежей льготы по транспортному налогу не применяются (пункт 8 статьи 307-7 Налогового кодекса).</w:t>
      </w:r>
    </w:p>
    <w:p w14:paraId="480C3A6D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>В связи с цифровизацией с 2024 г. транспортного налога в статье 307-8 Налогового кодекса установлен срок направления налоговыми органами плательщикам-организациям по месту постановки на учет на портал Министерства по налогам и сборам предварительно заполненных налоговых деклараций (расчетов) по транспортному налогу — не позднее 30 января</w:t>
      </w:r>
      <w:r w:rsidRPr="00643011">
        <w:rPr>
          <w:rFonts w:ascii="Times New Roman" w:hAnsi="Times New Roman" w:cs="Times New Roman"/>
          <w:sz w:val="28"/>
          <w:szCs w:val="28"/>
        </w:rPr>
        <w:br/>
        <w:t>2025 г. за 2024 г.</w:t>
      </w:r>
    </w:p>
    <w:p w14:paraId="182A555F" w14:textId="77777777" w:rsidR="00643011" w:rsidRPr="00643011" w:rsidRDefault="00643011" w:rsidP="00643011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1">
        <w:rPr>
          <w:rFonts w:ascii="Times New Roman" w:hAnsi="Times New Roman" w:cs="Times New Roman"/>
          <w:sz w:val="28"/>
          <w:szCs w:val="28"/>
        </w:rPr>
        <w:t>При этом срок представления организациями налоговых деклараций (расчетов) по указанному налогу и сроки уплаты транспортного налога в бюджет (включая авансовые платежи) сохранены прежние.</w:t>
      </w:r>
    </w:p>
    <w:p w14:paraId="641BE609" w14:textId="77777777" w:rsidR="008D3102" w:rsidRPr="00643011" w:rsidRDefault="008D3102" w:rsidP="006430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102" w:rsidRPr="0064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52"/>
    <w:rsid w:val="00545952"/>
    <w:rsid w:val="00643011"/>
    <w:rsid w:val="008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062F4-CB5D-4EF9-90D4-D02DD6ED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2024-01-08T07:42:00Z</dcterms:created>
  <dcterms:modified xsi:type="dcterms:W3CDTF">2024-01-08T07:43:00Z</dcterms:modified>
</cp:coreProperties>
</file>