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D2" w:rsidRPr="001619D2" w:rsidRDefault="00B539D3" w:rsidP="00B539D3">
      <w:pPr>
        <w:ind w:firstLine="567"/>
        <w:rPr>
          <w:szCs w:val="24"/>
        </w:rPr>
      </w:pPr>
      <w:bookmarkStart w:id="0" w:name="_GoBack"/>
      <w:bookmarkEnd w:id="0"/>
      <w:r w:rsidRPr="00B539D3">
        <w:rPr>
          <w:szCs w:val="24"/>
        </w:rPr>
        <w:t>Предварительное информирование граждан и юридических лиц о планируемой деятельности</w:t>
      </w:r>
      <w:r>
        <w:rPr>
          <w:szCs w:val="24"/>
        </w:rPr>
        <w:t xml:space="preserve"> по объекту</w:t>
      </w:r>
      <w:r w:rsidR="001619D2" w:rsidRPr="001619D2">
        <w:rPr>
          <w:szCs w:val="24"/>
        </w:rPr>
        <w:t xml:space="preserve"> </w:t>
      </w:r>
      <w:r w:rsidR="001619D2" w:rsidRPr="00E32EA5">
        <w:rPr>
          <w:szCs w:val="24"/>
        </w:rPr>
        <w:t>«</w:t>
      </w:r>
      <w:r w:rsidR="00F10A54">
        <w:rPr>
          <w:u w:val="single"/>
        </w:rPr>
        <w:t xml:space="preserve">Возведение базовой станции вблизи </w:t>
      </w:r>
      <w:proofErr w:type="spellStart"/>
      <w:r w:rsidR="00F10A54">
        <w:rPr>
          <w:u w:val="single"/>
        </w:rPr>
        <w:t>н.п.Новоселки</w:t>
      </w:r>
      <w:proofErr w:type="spellEnd"/>
      <w:r w:rsidR="00F10A54">
        <w:rPr>
          <w:u w:val="single"/>
        </w:rPr>
        <w:t xml:space="preserve"> Могилевского района Могилевской области</w:t>
      </w:r>
      <w:r w:rsidR="001619D2" w:rsidRPr="00E32EA5">
        <w:rPr>
          <w:szCs w:val="24"/>
        </w:rPr>
        <w:t>»</w:t>
      </w:r>
    </w:p>
    <w:p w:rsidR="001619D2" w:rsidRPr="000E7136" w:rsidRDefault="001619D2" w:rsidP="009E6F8B">
      <w:pPr>
        <w:jc w:val="center"/>
        <w:rPr>
          <w:szCs w:val="24"/>
        </w:rPr>
      </w:pPr>
    </w:p>
    <w:p w:rsidR="001619D2" w:rsidRPr="000E7136" w:rsidRDefault="001619D2" w:rsidP="009E6F8B">
      <w:pPr>
        <w:shd w:val="clear" w:color="auto" w:fill="FFFFFF"/>
        <w:jc w:val="center"/>
        <w:rPr>
          <w:bCs/>
          <w:color w:val="000000"/>
          <w:szCs w:val="24"/>
        </w:rPr>
      </w:pPr>
      <w:r w:rsidRPr="000E7136">
        <w:rPr>
          <w:b/>
          <w:bCs/>
          <w:color w:val="000000"/>
          <w:szCs w:val="24"/>
        </w:rPr>
        <w:t>План-график работ по проведению оценки воздействия на окружающую среду</w:t>
      </w:r>
      <w:r w:rsidRPr="000E7136">
        <w:rPr>
          <w:bCs/>
          <w:color w:val="000000"/>
          <w:szCs w:val="24"/>
        </w:rPr>
        <w:br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F10A54" w:rsidRPr="009E6F8B" w:rsidTr="00F10A54">
        <w:trPr>
          <w:jc w:val="center"/>
        </w:trPr>
        <w:tc>
          <w:tcPr>
            <w:tcW w:w="5098" w:type="dxa"/>
          </w:tcPr>
          <w:p w:rsidR="00F10A54" w:rsidRPr="009E6F8B" w:rsidRDefault="00F10A54" w:rsidP="00F10A54">
            <w:pPr>
              <w:jc w:val="left"/>
              <w:rPr>
                <w:bCs/>
                <w:color w:val="000000"/>
                <w:sz w:val="22"/>
                <w:szCs w:val="24"/>
                <w:lang w:eastAsia="en-US"/>
              </w:rPr>
            </w:pPr>
            <w:r w:rsidRPr="009E6F8B">
              <w:rPr>
                <w:bCs/>
                <w:color w:val="000000"/>
                <w:sz w:val="22"/>
                <w:szCs w:val="24"/>
                <w:lang w:eastAsia="en-US"/>
              </w:rPr>
              <w:t>Подготовка программы проведения ОВОС</w:t>
            </w:r>
          </w:p>
        </w:tc>
        <w:tc>
          <w:tcPr>
            <w:tcW w:w="4253" w:type="dxa"/>
          </w:tcPr>
          <w:p w:rsidR="00F10A54" w:rsidRPr="009E6F8B" w:rsidRDefault="00F10A54" w:rsidP="00F10A54">
            <w:pPr>
              <w:tabs>
                <w:tab w:val="left" w:pos="0"/>
              </w:tabs>
              <w:jc w:val="center"/>
              <w:rPr>
                <w:bCs/>
                <w:color w:val="000000"/>
                <w:sz w:val="22"/>
                <w:szCs w:val="24"/>
                <w:lang w:eastAsia="en-US"/>
              </w:rPr>
            </w:pPr>
            <w:r w:rsidRPr="009E6F8B">
              <w:rPr>
                <w:bCs/>
                <w:color w:val="000000"/>
                <w:sz w:val="22"/>
                <w:szCs w:val="24"/>
                <w:lang w:eastAsia="en-US"/>
              </w:rPr>
              <w:t xml:space="preserve">с 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01.11.</w:t>
            </w:r>
            <w:r w:rsidRPr="009E6F8B">
              <w:rPr>
                <w:bCs/>
                <w:color w:val="000000"/>
                <w:sz w:val="22"/>
                <w:szCs w:val="24"/>
                <w:lang w:eastAsia="en-US"/>
              </w:rPr>
              <w:t>202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2</w:t>
            </w:r>
            <w:r w:rsidRPr="009E6F8B">
              <w:rPr>
                <w:bCs/>
                <w:color w:val="000000"/>
                <w:sz w:val="22"/>
                <w:szCs w:val="24"/>
                <w:lang w:eastAsia="en-US"/>
              </w:rPr>
              <w:t xml:space="preserve"> г. по 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19.12.</w:t>
            </w:r>
            <w:r w:rsidRPr="009E6F8B">
              <w:rPr>
                <w:bCs/>
                <w:color w:val="000000"/>
                <w:sz w:val="22"/>
                <w:szCs w:val="24"/>
                <w:lang w:eastAsia="en-US"/>
              </w:rPr>
              <w:t>202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2</w:t>
            </w:r>
            <w:r w:rsidRPr="009E6F8B">
              <w:rPr>
                <w:bCs/>
                <w:color w:val="000000"/>
                <w:sz w:val="22"/>
                <w:szCs w:val="24"/>
                <w:lang w:eastAsia="en-US"/>
              </w:rPr>
              <w:t xml:space="preserve"> г.</w:t>
            </w:r>
          </w:p>
        </w:tc>
      </w:tr>
      <w:tr w:rsidR="00F10A54" w:rsidRPr="009E6F8B" w:rsidTr="00F10A54">
        <w:trPr>
          <w:jc w:val="center"/>
        </w:trPr>
        <w:tc>
          <w:tcPr>
            <w:tcW w:w="5098" w:type="dxa"/>
          </w:tcPr>
          <w:p w:rsidR="00F10A54" w:rsidRPr="003D39E7" w:rsidRDefault="00F10A54" w:rsidP="00F10A54">
            <w:pPr>
              <w:jc w:val="left"/>
              <w:rPr>
                <w:bCs/>
                <w:color w:val="000000"/>
                <w:sz w:val="22"/>
                <w:szCs w:val="24"/>
                <w:lang w:eastAsia="en-US"/>
              </w:rPr>
            </w:pP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4253" w:type="dxa"/>
          </w:tcPr>
          <w:p w:rsidR="00F10A54" w:rsidRPr="003D39E7" w:rsidRDefault="00F10A54" w:rsidP="00F10A54">
            <w:pPr>
              <w:tabs>
                <w:tab w:val="left" w:pos="0"/>
              </w:tabs>
              <w:jc w:val="center"/>
              <w:rPr>
                <w:bCs/>
                <w:color w:val="000000"/>
                <w:sz w:val="22"/>
                <w:szCs w:val="24"/>
                <w:lang w:eastAsia="en-US"/>
              </w:rPr>
            </w:pP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 xml:space="preserve">с 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21.12.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 xml:space="preserve">2022 г. по 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05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>.0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1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>.202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3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 xml:space="preserve"> г.</w:t>
            </w:r>
          </w:p>
        </w:tc>
      </w:tr>
      <w:tr w:rsidR="00F10A54" w:rsidRPr="009E6F8B" w:rsidTr="00F10A54">
        <w:trPr>
          <w:trHeight w:val="92"/>
          <w:jc w:val="center"/>
        </w:trPr>
        <w:tc>
          <w:tcPr>
            <w:tcW w:w="5098" w:type="dxa"/>
          </w:tcPr>
          <w:p w:rsidR="00F10A54" w:rsidRPr="003D39E7" w:rsidRDefault="00F10A54" w:rsidP="00F10A54">
            <w:pPr>
              <w:jc w:val="left"/>
              <w:rPr>
                <w:bCs/>
                <w:color w:val="000000"/>
                <w:sz w:val="22"/>
                <w:szCs w:val="24"/>
                <w:lang w:eastAsia="en-US"/>
              </w:rPr>
            </w:pP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>Проведение ОВОС и подготовка отчета об ОВОС</w:t>
            </w:r>
          </w:p>
        </w:tc>
        <w:tc>
          <w:tcPr>
            <w:tcW w:w="4253" w:type="dxa"/>
          </w:tcPr>
          <w:p w:rsidR="00F10A54" w:rsidRPr="003D39E7" w:rsidRDefault="00F10A54" w:rsidP="00F10A54">
            <w:pPr>
              <w:tabs>
                <w:tab w:val="left" w:pos="0"/>
              </w:tabs>
              <w:jc w:val="center"/>
              <w:rPr>
                <w:bCs/>
                <w:color w:val="000000"/>
                <w:sz w:val="22"/>
                <w:szCs w:val="24"/>
                <w:lang w:eastAsia="en-US"/>
              </w:rPr>
            </w:pP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 xml:space="preserve">с 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19.12.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 xml:space="preserve">2022 г. по 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03.01.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>202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3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 xml:space="preserve"> г.</w:t>
            </w:r>
          </w:p>
        </w:tc>
      </w:tr>
      <w:tr w:rsidR="00F10A54" w:rsidRPr="009E6F8B" w:rsidTr="00F10A54">
        <w:trPr>
          <w:trHeight w:val="92"/>
          <w:jc w:val="center"/>
        </w:trPr>
        <w:tc>
          <w:tcPr>
            <w:tcW w:w="5098" w:type="dxa"/>
          </w:tcPr>
          <w:p w:rsidR="00F10A54" w:rsidRPr="003D39E7" w:rsidRDefault="00F10A54" w:rsidP="00F10A54">
            <w:pPr>
              <w:jc w:val="left"/>
              <w:rPr>
                <w:bCs/>
                <w:sz w:val="22"/>
                <w:szCs w:val="24"/>
                <w:lang w:eastAsia="en-US"/>
              </w:rPr>
            </w:pPr>
            <w:r w:rsidRPr="003D39E7">
              <w:rPr>
                <w:bCs/>
                <w:sz w:val="22"/>
                <w:szCs w:val="24"/>
                <w:lang w:eastAsia="en-US"/>
              </w:rPr>
              <w:t>Проведение общественных обсуждений (слушаний) на территории Республики Беларусь</w:t>
            </w:r>
          </w:p>
        </w:tc>
        <w:tc>
          <w:tcPr>
            <w:tcW w:w="4253" w:type="dxa"/>
          </w:tcPr>
          <w:p w:rsidR="00F10A54" w:rsidRPr="003D39E7" w:rsidRDefault="00F10A54" w:rsidP="00F10A54">
            <w:pPr>
              <w:tabs>
                <w:tab w:val="left" w:pos="0"/>
              </w:tabs>
              <w:jc w:val="center"/>
              <w:rPr>
                <w:bCs/>
                <w:sz w:val="22"/>
                <w:szCs w:val="24"/>
                <w:lang w:eastAsia="en-US"/>
              </w:rPr>
            </w:pPr>
            <w:r w:rsidRPr="003D39E7">
              <w:rPr>
                <w:bCs/>
                <w:sz w:val="22"/>
                <w:szCs w:val="24"/>
                <w:lang w:eastAsia="en-US"/>
              </w:rPr>
              <w:t xml:space="preserve">с </w:t>
            </w:r>
            <w:r>
              <w:rPr>
                <w:bCs/>
                <w:sz w:val="22"/>
                <w:szCs w:val="24"/>
                <w:lang w:eastAsia="en-US"/>
              </w:rPr>
              <w:t>06.01.</w:t>
            </w:r>
            <w:r w:rsidRPr="003D39E7">
              <w:rPr>
                <w:bCs/>
                <w:sz w:val="22"/>
                <w:szCs w:val="24"/>
                <w:lang w:eastAsia="en-US"/>
              </w:rPr>
              <w:t>202</w:t>
            </w:r>
            <w:r>
              <w:rPr>
                <w:bCs/>
                <w:sz w:val="22"/>
                <w:szCs w:val="24"/>
                <w:lang w:eastAsia="en-US"/>
              </w:rPr>
              <w:t>3</w:t>
            </w:r>
            <w:r w:rsidRPr="003D39E7">
              <w:rPr>
                <w:bCs/>
                <w:sz w:val="22"/>
                <w:szCs w:val="24"/>
                <w:lang w:eastAsia="en-US"/>
              </w:rPr>
              <w:t xml:space="preserve"> г. по </w:t>
            </w:r>
            <w:r>
              <w:rPr>
                <w:bCs/>
                <w:sz w:val="22"/>
                <w:szCs w:val="24"/>
                <w:lang w:eastAsia="en-US"/>
              </w:rPr>
              <w:t>06.02.</w:t>
            </w:r>
            <w:r w:rsidRPr="003D39E7">
              <w:rPr>
                <w:bCs/>
                <w:sz w:val="22"/>
                <w:szCs w:val="24"/>
                <w:lang w:eastAsia="en-US"/>
              </w:rPr>
              <w:t>202</w:t>
            </w:r>
            <w:r>
              <w:rPr>
                <w:bCs/>
                <w:sz w:val="22"/>
                <w:szCs w:val="24"/>
                <w:lang w:eastAsia="en-US"/>
              </w:rPr>
              <w:t>3</w:t>
            </w:r>
            <w:r w:rsidRPr="003D39E7">
              <w:rPr>
                <w:bCs/>
                <w:sz w:val="22"/>
                <w:szCs w:val="24"/>
                <w:lang w:eastAsia="en-US"/>
              </w:rPr>
              <w:t xml:space="preserve"> г.</w:t>
            </w:r>
          </w:p>
          <w:p w:rsidR="00F10A54" w:rsidRPr="003D39E7" w:rsidRDefault="00F10A54" w:rsidP="00F10A54">
            <w:pPr>
              <w:jc w:val="center"/>
              <w:rPr>
                <w:bCs/>
                <w:sz w:val="22"/>
                <w:szCs w:val="24"/>
                <w:lang w:eastAsia="en-US"/>
              </w:rPr>
            </w:pPr>
            <w:r w:rsidRPr="003D39E7">
              <w:rPr>
                <w:bCs/>
                <w:sz w:val="22"/>
                <w:szCs w:val="24"/>
                <w:lang w:eastAsia="en-US"/>
              </w:rPr>
              <w:t xml:space="preserve"> (срок проведения общественных обсуждений составит не менее 30 дней)</w:t>
            </w:r>
          </w:p>
        </w:tc>
      </w:tr>
      <w:tr w:rsidR="00F10A54" w:rsidRPr="009E6F8B" w:rsidTr="00F10A54">
        <w:trPr>
          <w:jc w:val="center"/>
        </w:trPr>
        <w:tc>
          <w:tcPr>
            <w:tcW w:w="5098" w:type="dxa"/>
          </w:tcPr>
          <w:p w:rsidR="00F10A54" w:rsidRPr="003D39E7" w:rsidRDefault="00F10A54" w:rsidP="00F10A54">
            <w:pPr>
              <w:jc w:val="left"/>
              <w:rPr>
                <w:bCs/>
                <w:sz w:val="22"/>
                <w:szCs w:val="24"/>
                <w:lang w:eastAsia="en-US"/>
              </w:rPr>
            </w:pPr>
            <w:r w:rsidRPr="003D39E7">
              <w:rPr>
                <w:bCs/>
                <w:sz w:val="22"/>
                <w:szCs w:val="24"/>
                <w:lang w:eastAsia="en-US"/>
              </w:rPr>
              <w:t xml:space="preserve">Проведение собрания по обсуждению отчета об ОВОС </w:t>
            </w:r>
          </w:p>
        </w:tc>
        <w:tc>
          <w:tcPr>
            <w:tcW w:w="4253" w:type="dxa"/>
          </w:tcPr>
          <w:p w:rsidR="00F10A54" w:rsidRPr="003D39E7" w:rsidRDefault="00F10A54" w:rsidP="00F10A54">
            <w:pPr>
              <w:jc w:val="center"/>
              <w:rPr>
                <w:bCs/>
                <w:sz w:val="22"/>
                <w:szCs w:val="24"/>
                <w:lang w:eastAsia="en-US"/>
              </w:rPr>
            </w:pPr>
            <w:r w:rsidRPr="003D39E7">
              <w:rPr>
                <w:bCs/>
                <w:sz w:val="22"/>
                <w:szCs w:val="24"/>
                <w:lang w:eastAsia="en-US"/>
              </w:rPr>
              <w:t>в случае обращения граждан о необходимости проведения собрания, дата проведения собрания будет сообщена дополнительно</w:t>
            </w:r>
          </w:p>
        </w:tc>
      </w:tr>
      <w:tr w:rsidR="00F10A54" w:rsidRPr="009E6F8B" w:rsidTr="00F10A54">
        <w:trPr>
          <w:jc w:val="center"/>
        </w:trPr>
        <w:tc>
          <w:tcPr>
            <w:tcW w:w="5098" w:type="dxa"/>
          </w:tcPr>
          <w:p w:rsidR="00F10A54" w:rsidRPr="003D39E7" w:rsidRDefault="00F10A54" w:rsidP="00F10A54">
            <w:pPr>
              <w:jc w:val="left"/>
              <w:rPr>
                <w:bCs/>
                <w:sz w:val="22"/>
                <w:szCs w:val="24"/>
                <w:lang w:eastAsia="en-US"/>
              </w:rPr>
            </w:pPr>
            <w:r w:rsidRPr="003D39E7">
              <w:rPr>
                <w:bCs/>
                <w:sz w:val="22"/>
                <w:szCs w:val="24"/>
                <w:lang w:eastAsia="en-US"/>
              </w:rPr>
              <w:t xml:space="preserve">Доработка отчета об ОВОС по замечаниям </w:t>
            </w:r>
          </w:p>
        </w:tc>
        <w:tc>
          <w:tcPr>
            <w:tcW w:w="4253" w:type="dxa"/>
          </w:tcPr>
          <w:p w:rsidR="00F10A54" w:rsidRPr="003D39E7" w:rsidRDefault="00F10A54" w:rsidP="00F10A54">
            <w:pPr>
              <w:jc w:val="center"/>
              <w:rPr>
                <w:bCs/>
                <w:sz w:val="22"/>
                <w:szCs w:val="24"/>
                <w:lang w:eastAsia="en-US"/>
              </w:rPr>
            </w:pPr>
            <w:r w:rsidRPr="003D39E7">
              <w:rPr>
                <w:bCs/>
                <w:sz w:val="22"/>
                <w:szCs w:val="24"/>
                <w:lang w:eastAsia="en-US"/>
              </w:rPr>
              <w:t xml:space="preserve">с </w:t>
            </w:r>
            <w:r>
              <w:rPr>
                <w:bCs/>
                <w:sz w:val="22"/>
                <w:szCs w:val="24"/>
                <w:lang w:eastAsia="en-US"/>
              </w:rPr>
              <w:t>07.02.</w:t>
            </w:r>
            <w:r w:rsidRPr="003D39E7">
              <w:rPr>
                <w:bCs/>
                <w:sz w:val="22"/>
                <w:szCs w:val="24"/>
                <w:lang w:eastAsia="en-US"/>
              </w:rPr>
              <w:t>202</w:t>
            </w:r>
            <w:r>
              <w:rPr>
                <w:bCs/>
                <w:sz w:val="22"/>
                <w:szCs w:val="24"/>
                <w:lang w:eastAsia="en-US"/>
              </w:rPr>
              <w:t>3</w:t>
            </w:r>
            <w:r w:rsidRPr="003D39E7">
              <w:rPr>
                <w:bCs/>
                <w:sz w:val="22"/>
                <w:szCs w:val="24"/>
                <w:lang w:eastAsia="en-US"/>
              </w:rPr>
              <w:t xml:space="preserve"> г. по </w:t>
            </w:r>
            <w:r>
              <w:rPr>
                <w:bCs/>
                <w:sz w:val="22"/>
                <w:szCs w:val="24"/>
                <w:lang w:eastAsia="en-US"/>
              </w:rPr>
              <w:t>13.02</w:t>
            </w:r>
            <w:r w:rsidRPr="003D39E7">
              <w:rPr>
                <w:bCs/>
                <w:sz w:val="22"/>
                <w:szCs w:val="24"/>
                <w:lang w:eastAsia="en-US"/>
              </w:rPr>
              <w:t>.202</w:t>
            </w:r>
            <w:r>
              <w:rPr>
                <w:bCs/>
                <w:sz w:val="22"/>
                <w:szCs w:val="24"/>
                <w:lang w:eastAsia="en-US"/>
              </w:rPr>
              <w:t>3</w:t>
            </w:r>
            <w:r w:rsidRPr="003D39E7">
              <w:rPr>
                <w:bCs/>
                <w:sz w:val="22"/>
                <w:szCs w:val="24"/>
                <w:lang w:eastAsia="en-US"/>
              </w:rPr>
              <w:t xml:space="preserve"> г. (в случае необходимости доработки отчета)</w:t>
            </w:r>
          </w:p>
        </w:tc>
      </w:tr>
      <w:tr w:rsidR="00F10A54" w:rsidRPr="009E6F8B" w:rsidTr="00F10A54">
        <w:trPr>
          <w:trHeight w:val="403"/>
          <w:jc w:val="center"/>
        </w:trPr>
        <w:tc>
          <w:tcPr>
            <w:tcW w:w="5098" w:type="dxa"/>
          </w:tcPr>
          <w:p w:rsidR="00F10A54" w:rsidRPr="003D39E7" w:rsidRDefault="00F10A54" w:rsidP="00F10A54">
            <w:pPr>
              <w:jc w:val="left"/>
              <w:rPr>
                <w:bCs/>
                <w:color w:val="000000"/>
                <w:sz w:val="22"/>
                <w:szCs w:val="24"/>
                <w:lang w:eastAsia="en-US"/>
              </w:rPr>
            </w:pP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4253" w:type="dxa"/>
          </w:tcPr>
          <w:p w:rsidR="00F10A54" w:rsidRPr="003D39E7" w:rsidRDefault="00F10A54" w:rsidP="00F10A54">
            <w:pPr>
              <w:jc w:val="center"/>
              <w:rPr>
                <w:bCs/>
                <w:color w:val="000000"/>
                <w:sz w:val="22"/>
                <w:szCs w:val="24"/>
                <w:lang w:eastAsia="en-US"/>
              </w:rPr>
            </w:pP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 xml:space="preserve">с 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17.02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>.202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3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 xml:space="preserve"> г. по 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20.03.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>202</w:t>
            </w:r>
            <w:r>
              <w:rPr>
                <w:bCs/>
                <w:color w:val="000000"/>
                <w:sz w:val="22"/>
                <w:szCs w:val="24"/>
                <w:lang w:eastAsia="en-US"/>
              </w:rPr>
              <w:t>3</w:t>
            </w: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 xml:space="preserve"> г. (срок проведения государственной экологической экспертизы – 1 месяц)</w:t>
            </w:r>
          </w:p>
        </w:tc>
      </w:tr>
      <w:tr w:rsidR="00F10A54" w:rsidRPr="009E6F8B" w:rsidTr="00F10A54">
        <w:trPr>
          <w:jc w:val="center"/>
        </w:trPr>
        <w:tc>
          <w:tcPr>
            <w:tcW w:w="5098" w:type="dxa"/>
          </w:tcPr>
          <w:p w:rsidR="00F10A54" w:rsidRPr="003D39E7" w:rsidRDefault="00F10A54" w:rsidP="00F10A54">
            <w:pPr>
              <w:jc w:val="left"/>
              <w:rPr>
                <w:bCs/>
                <w:color w:val="000000"/>
                <w:sz w:val="22"/>
                <w:szCs w:val="24"/>
                <w:lang w:eastAsia="en-US"/>
              </w:rPr>
            </w:pPr>
            <w:r w:rsidRPr="003D39E7">
              <w:rPr>
                <w:bCs/>
                <w:color w:val="000000"/>
                <w:sz w:val="22"/>
                <w:szCs w:val="24"/>
                <w:lang w:eastAsia="en-US"/>
              </w:rPr>
              <w:t>Принятие решения в отношении планируемой деятельности</w:t>
            </w:r>
          </w:p>
        </w:tc>
        <w:tc>
          <w:tcPr>
            <w:tcW w:w="4253" w:type="dxa"/>
          </w:tcPr>
          <w:p w:rsidR="00F10A54" w:rsidRPr="003D39E7" w:rsidRDefault="00F10A54" w:rsidP="00F10A54">
            <w:pPr>
              <w:jc w:val="center"/>
              <w:rPr>
                <w:sz w:val="22"/>
                <w:szCs w:val="24"/>
                <w:lang w:eastAsia="en-US"/>
              </w:rPr>
            </w:pPr>
            <w:r w:rsidRPr="003D39E7">
              <w:rPr>
                <w:sz w:val="22"/>
                <w:szCs w:val="24"/>
                <w:lang w:eastAsia="en-US"/>
              </w:rPr>
              <w:t>в течение 15 рабочих дней после получения заключения государственной экологической экспертизы</w:t>
            </w:r>
          </w:p>
        </w:tc>
      </w:tr>
    </w:tbl>
    <w:p w:rsidR="008A775D" w:rsidRPr="00E32EA5" w:rsidRDefault="00E32EA5" w:rsidP="00E32EA5">
      <w:pPr>
        <w:jc w:val="left"/>
        <w:rPr>
          <w:szCs w:val="24"/>
        </w:rPr>
      </w:pPr>
      <w:r>
        <w:rPr>
          <w:szCs w:val="24"/>
        </w:rPr>
        <w:t xml:space="preserve"> </w:t>
      </w:r>
    </w:p>
    <w:p w:rsidR="001619D2" w:rsidRPr="001619D2" w:rsidRDefault="001619D2" w:rsidP="009E6F8B">
      <w:pPr>
        <w:jc w:val="center"/>
        <w:rPr>
          <w:b/>
          <w:szCs w:val="24"/>
        </w:rPr>
      </w:pPr>
      <w:r w:rsidRPr="001619D2">
        <w:rPr>
          <w:b/>
          <w:szCs w:val="24"/>
        </w:rPr>
        <w:t>Сведения о планируемой деятельности</w:t>
      </w:r>
    </w:p>
    <w:p w:rsidR="001619D2" w:rsidRPr="001619D2" w:rsidRDefault="001619D2" w:rsidP="009E6F8B">
      <w:pPr>
        <w:jc w:val="center"/>
        <w:rPr>
          <w:szCs w:val="24"/>
        </w:rPr>
      </w:pPr>
    </w:p>
    <w:p w:rsidR="00B14A2B" w:rsidRPr="002E342F" w:rsidRDefault="00B14A2B" w:rsidP="002E342F">
      <w:pPr>
        <w:pStyle w:val="3"/>
        <w:widowControl w:val="0"/>
        <w:ind w:firstLine="567"/>
        <w:contextualSpacing/>
        <w:rPr>
          <w:bCs/>
          <w:snapToGrid w:val="0"/>
          <w:szCs w:val="24"/>
        </w:rPr>
      </w:pPr>
      <w:r w:rsidRPr="004B41D5">
        <w:rPr>
          <w:color w:val="000000"/>
        </w:rPr>
        <w:t>Пр</w:t>
      </w:r>
      <w:r>
        <w:rPr>
          <w:color w:val="000000"/>
        </w:rPr>
        <w:t xml:space="preserve">оектными решениями </w:t>
      </w:r>
      <w:r w:rsidR="00B758FD">
        <w:rPr>
          <w:color w:val="000000"/>
        </w:rPr>
        <w:t>предусмотрена</w:t>
      </w:r>
      <w:r w:rsidR="002E342F">
        <w:rPr>
          <w:color w:val="000000"/>
        </w:rPr>
        <w:t xml:space="preserve"> </w:t>
      </w:r>
      <w:r w:rsidR="00B758FD">
        <w:rPr>
          <w:bCs/>
          <w:snapToGrid w:val="0"/>
          <w:szCs w:val="24"/>
        </w:rPr>
        <w:t>установка антенной опоры в виде</w:t>
      </w:r>
      <w:r w:rsidR="002E342F" w:rsidRPr="005E0F84">
        <w:rPr>
          <w:bCs/>
          <w:snapToGrid w:val="0"/>
          <w:szCs w:val="24"/>
        </w:rPr>
        <w:t xml:space="preserve"> </w:t>
      </w:r>
      <w:r w:rsidR="002E342F" w:rsidRPr="00261F0B">
        <w:rPr>
          <w:bCs/>
          <w:snapToGrid w:val="0"/>
          <w:szCs w:val="24"/>
        </w:rPr>
        <w:t>башн</w:t>
      </w:r>
      <w:r w:rsidR="00B758FD">
        <w:rPr>
          <w:bCs/>
          <w:snapToGrid w:val="0"/>
          <w:szCs w:val="24"/>
        </w:rPr>
        <w:t xml:space="preserve">и </w:t>
      </w:r>
      <w:r w:rsidR="002E342F">
        <w:rPr>
          <w:bCs/>
          <w:snapToGrid w:val="0"/>
          <w:szCs w:val="24"/>
        </w:rPr>
        <w:t>Н=70 м</w:t>
      </w:r>
      <w:r w:rsidR="00B758FD">
        <w:rPr>
          <w:bCs/>
          <w:snapToGrid w:val="0"/>
          <w:szCs w:val="24"/>
        </w:rPr>
        <w:t xml:space="preserve"> по </w:t>
      </w:r>
      <w:r w:rsidR="00B758FD">
        <w:rPr>
          <w:color w:val="000000"/>
        </w:rPr>
        <w:t>индивидуальному</w:t>
      </w:r>
      <w:r>
        <w:rPr>
          <w:color w:val="000000"/>
        </w:rPr>
        <w:t xml:space="preserve"> проекту с площадкой под технологическое оборудование, размещение антенно-фидерных устройств на основной и ответной стороне и прокладка подземной линии электроснабжения базовой станции. </w:t>
      </w:r>
    </w:p>
    <w:p w:rsidR="00B14A2B" w:rsidRDefault="00B14A2B" w:rsidP="009E6F8B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Устанавливаемые антенны являются источником электромагнитного излучения.</w:t>
      </w:r>
    </w:p>
    <w:p w:rsidR="001619D2" w:rsidRDefault="004B1E65" w:rsidP="009E6F8B">
      <w:pPr>
        <w:ind w:firstLine="567"/>
        <w:rPr>
          <w:szCs w:val="24"/>
        </w:rPr>
      </w:pPr>
      <w:r w:rsidRPr="004B1E65">
        <w:rPr>
          <w:bCs/>
          <w:szCs w:val="24"/>
        </w:rPr>
        <w:t>Планируемая деятельность не оказывает трансграничное воздействие.</w:t>
      </w:r>
    </w:p>
    <w:p w:rsidR="008A775D" w:rsidRPr="001619D2" w:rsidRDefault="008A775D" w:rsidP="009E6F8B">
      <w:pPr>
        <w:jc w:val="center"/>
        <w:rPr>
          <w:szCs w:val="24"/>
        </w:rPr>
      </w:pPr>
    </w:p>
    <w:p w:rsidR="001619D2" w:rsidRPr="001619D2" w:rsidRDefault="001619D2" w:rsidP="009E6F8B">
      <w:pPr>
        <w:jc w:val="center"/>
        <w:rPr>
          <w:b/>
          <w:szCs w:val="24"/>
        </w:rPr>
      </w:pPr>
      <w:r w:rsidRPr="001619D2">
        <w:rPr>
          <w:b/>
          <w:szCs w:val="24"/>
        </w:rPr>
        <w:t>Альтернативные варианты реализации планируемой деятельности</w:t>
      </w:r>
    </w:p>
    <w:p w:rsidR="001619D2" w:rsidRPr="001619D2" w:rsidRDefault="001619D2" w:rsidP="009E6F8B">
      <w:pPr>
        <w:jc w:val="center"/>
        <w:rPr>
          <w:szCs w:val="24"/>
        </w:rPr>
      </w:pPr>
    </w:p>
    <w:p w:rsidR="001619D2" w:rsidRPr="001619D2" w:rsidRDefault="001619D2" w:rsidP="009E6F8B">
      <w:pPr>
        <w:ind w:firstLine="567"/>
        <w:rPr>
          <w:snapToGrid w:val="0"/>
          <w:szCs w:val="24"/>
        </w:rPr>
      </w:pPr>
      <w:r w:rsidRPr="001619D2">
        <w:rPr>
          <w:snapToGrid w:val="0"/>
          <w:szCs w:val="24"/>
        </w:rPr>
        <w:t>В процессе проведения оценки воздействия на окружающую среду для объекта рассм</w:t>
      </w:r>
      <w:r w:rsidR="000A093F">
        <w:rPr>
          <w:snapToGrid w:val="0"/>
          <w:szCs w:val="24"/>
        </w:rPr>
        <w:t>атриваются</w:t>
      </w:r>
      <w:r w:rsidRPr="001619D2">
        <w:rPr>
          <w:snapToGrid w:val="0"/>
          <w:szCs w:val="24"/>
        </w:rPr>
        <w:t xml:space="preserve"> следующие альтернативные варианты реализации планируемой деятельности:</w:t>
      </w:r>
    </w:p>
    <w:p w:rsidR="001619D2" w:rsidRPr="001619D2" w:rsidRDefault="001619D2" w:rsidP="009E6F8B">
      <w:pPr>
        <w:ind w:firstLine="567"/>
        <w:rPr>
          <w:snapToGrid w:val="0"/>
          <w:szCs w:val="24"/>
        </w:rPr>
      </w:pPr>
      <w:r w:rsidRPr="001619D2">
        <w:rPr>
          <w:snapToGrid w:val="0"/>
          <w:szCs w:val="24"/>
        </w:rPr>
        <w:t>-«нулевая» альтернатива: полный отказ от реализации хозяйственной деятельности.</w:t>
      </w:r>
    </w:p>
    <w:p w:rsidR="001619D2" w:rsidRPr="001619D2" w:rsidRDefault="001619D2" w:rsidP="009E6F8B">
      <w:pPr>
        <w:ind w:firstLine="567"/>
        <w:rPr>
          <w:snapToGrid w:val="0"/>
          <w:szCs w:val="24"/>
        </w:rPr>
      </w:pPr>
      <w:r w:rsidRPr="001619D2">
        <w:rPr>
          <w:snapToGrid w:val="0"/>
          <w:szCs w:val="24"/>
        </w:rPr>
        <w:t>-реализация планируемой деятельности с использованием альтернативног</w:t>
      </w:r>
      <w:r w:rsidR="006071C0">
        <w:rPr>
          <w:snapToGrid w:val="0"/>
          <w:szCs w:val="24"/>
        </w:rPr>
        <w:t>о оборудования</w:t>
      </w:r>
      <w:r w:rsidRPr="001619D2">
        <w:rPr>
          <w:snapToGrid w:val="0"/>
          <w:szCs w:val="24"/>
        </w:rPr>
        <w:t>.</w:t>
      </w:r>
    </w:p>
    <w:p w:rsidR="001619D2" w:rsidRPr="001619D2" w:rsidRDefault="001619D2" w:rsidP="009E6F8B">
      <w:pPr>
        <w:ind w:firstLine="567"/>
        <w:rPr>
          <w:snapToGrid w:val="0"/>
          <w:szCs w:val="24"/>
        </w:rPr>
      </w:pPr>
      <w:r w:rsidRPr="001619D2">
        <w:rPr>
          <w:snapToGrid w:val="0"/>
          <w:szCs w:val="24"/>
        </w:rPr>
        <w:t xml:space="preserve">-реализация планируемой деятельности в соответствии с проектными решениями: </w:t>
      </w:r>
      <w:r w:rsidR="006071C0">
        <w:rPr>
          <w:snapToGrid w:val="0"/>
          <w:szCs w:val="24"/>
        </w:rPr>
        <w:t>использование</w:t>
      </w:r>
      <w:r w:rsidR="006071C0" w:rsidRPr="001619D2">
        <w:rPr>
          <w:snapToGrid w:val="0"/>
          <w:szCs w:val="24"/>
        </w:rPr>
        <w:t xml:space="preserve"> </w:t>
      </w:r>
      <w:r w:rsidR="006071C0">
        <w:rPr>
          <w:snapToGrid w:val="0"/>
          <w:szCs w:val="24"/>
        </w:rPr>
        <w:t>оборудования</w:t>
      </w:r>
      <w:r w:rsidR="006071C0" w:rsidRPr="001619D2">
        <w:rPr>
          <w:snapToGrid w:val="0"/>
          <w:szCs w:val="24"/>
        </w:rPr>
        <w:t xml:space="preserve"> </w:t>
      </w:r>
      <w:r w:rsidR="006071C0">
        <w:rPr>
          <w:snapToGrid w:val="0"/>
          <w:szCs w:val="24"/>
        </w:rPr>
        <w:t xml:space="preserve">радиорелейной станции </w:t>
      </w:r>
      <w:r w:rsidR="006071C0" w:rsidRPr="001619D2">
        <w:rPr>
          <w:snapToGrid w:val="0"/>
          <w:szCs w:val="24"/>
        </w:rPr>
        <w:t xml:space="preserve">с частотой оборудования </w:t>
      </w:r>
      <w:r w:rsidR="006071C0">
        <w:rPr>
          <w:snapToGrid w:val="0"/>
          <w:szCs w:val="24"/>
        </w:rPr>
        <w:t>1</w:t>
      </w:r>
      <w:r w:rsidR="006071C0" w:rsidRPr="001619D2">
        <w:rPr>
          <w:snapToGrid w:val="0"/>
          <w:szCs w:val="24"/>
        </w:rPr>
        <w:t>8 ГГц.</w:t>
      </w:r>
    </w:p>
    <w:p w:rsidR="004B1E65" w:rsidRPr="001619D2" w:rsidRDefault="004B1E65" w:rsidP="009E6F8B">
      <w:pPr>
        <w:jc w:val="center"/>
        <w:rPr>
          <w:b/>
          <w:szCs w:val="24"/>
        </w:rPr>
      </w:pPr>
    </w:p>
    <w:p w:rsidR="001619D2" w:rsidRPr="001619D2" w:rsidRDefault="001619D2" w:rsidP="009E6F8B">
      <w:pPr>
        <w:jc w:val="center"/>
        <w:rPr>
          <w:b/>
          <w:szCs w:val="24"/>
        </w:rPr>
      </w:pPr>
      <w:r w:rsidRPr="001619D2">
        <w:rPr>
          <w:b/>
          <w:szCs w:val="24"/>
        </w:rPr>
        <w:t>Сведения о Заказчике</w:t>
      </w:r>
    </w:p>
    <w:p w:rsidR="008F3533" w:rsidRPr="001619D2" w:rsidRDefault="00BE4614" w:rsidP="009E6F8B">
      <w:pPr>
        <w:jc w:val="center"/>
        <w:rPr>
          <w:szCs w:val="24"/>
        </w:rPr>
      </w:pPr>
    </w:p>
    <w:p w:rsidR="001619D2" w:rsidRDefault="001619D2" w:rsidP="009E6F8B">
      <w:pPr>
        <w:pStyle w:val="3"/>
        <w:widowControl w:val="0"/>
        <w:ind w:firstLine="567"/>
        <w:contextualSpacing/>
        <w:rPr>
          <w:szCs w:val="24"/>
        </w:rPr>
      </w:pPr>
      <w:r w:rsidRPr="001619D2">
        <w:rPr>
          <w:szCs w:val="24"/>
        </w:rPr>
        <w:t xml:space="preserve">Заказчиком планируемой хозяйственной деятельности выступает Унитарное предприятие по оказанию услуг «А1». Юридический адрес Заказчика: 220030, Республика Беларусь, г. Минск, ул. Интернациональная, 36-2, </w:t>
      </w:r>
      <w:hyperlink r:id="rId4" w:history="1">
        <w:r w:rsidR="00EF69FC" w:rsidRPr="00DD068F">
          <w:rPr>
            <w:rStyle w:val="a5"/>
            <w:szCs w:val="24"/>
            <w:lang w:val="en-US"/>
          </w:rPr>
          <w:t>info</w:t>
        </w:r>
        <w:r w:rsidR="00EF69FC" w:rsidRPr="00DD068F">
          <w:rPr>
            <w:rStyle w:val="a5"/>
            <w:szCs w:val="24"/>
          </w:rPr>
          <w:t>@</w:t>
        </w:r>
        <w:r w:rsidR="00EF69FC" w:rsidRPr="00DD068F">
          <w:rPr>
            <w:rStyle w:val="a5"/>
            <w:szCs w:val="24"/>
            <w:lang w:val="en-US"/>
          </w:rPr>
          <w:t>A</w:t>
        </w:r>
        <w:r w:rsidR="00EF69FC" w:rsidRPr="00DD068F">
          <w:rPr>
            <w:rStyle w:val="a5"/>
            <w:szCs w:val="24"/>
          </w:rPr>
          <w:t>1.</w:t>
        </w:r>
        <w:r w:rsidR="00EF69FC" w:rsidRPr="00DD068F">
          <w:rPr>
            <w:rStyle w:val="a5"/>
            <w:szCs w:val="24"/>
            <w:lang w:val="en-US"/>
          </w:rPr>
          <w:t>by</w:t>
        </w:r>
      </w:hyperlink>
      <w:r w:rsidRPr="001619D2">
        <w:rPr>
          <w:szCs w:val="24"/>
        </w:rPr>
        <w:t>.</w:t>
      </w:r>
    </w:p>
    <w:p w:rsidR="00EF69FC" w:rsidRPr="00917897" w:rsidRDefault="00EF69FC" w:rsidP="009E6F8B">
      <w:pPr>
        <w:pStyle w:val="3"/>
        <w:widowControl w:val="0"/>
        <w:ind w:firstLine="567"/>
        <w:contextualSpacing/>
      </w:pPr>
      <w:r w:rsidRPr="00917897">
        <w:t xml:space="preserve">Унитарное предприятие «А1» – провайдер телекоммуникационных, ИКТ- и контент-услуг в Беларуси. Коммерческую деятельность компания начала 16 апреля 1999 г., став </w:t>
      </w:r>
      <w:r w:rsidRPr="00917897">
        <w:lastRenderedPageBreak/>
        <w:t xml:space="preserve">первым мобильным оператором стандарта GSM в стране. </w:t>
      </w:r>
      <w:r w:rsidR="00E32EA5" w:rsidRPr="00E32EA5">
        <w:t xml:space="preserve">С ноября 2007 г. входит в состав международной группы A1 </w:t>
      </w:r>
      <w:proofErr w:type="spellStart"/>
      <w:r w:rsidR="00E32EA5" w:rsidRPr="00E32EA5">
        <w:t>Telekom</w:t>
      </w:r>
      <w:proofErr w:type="spellEnd"/>
      <w:r w:rsidR="00E32EA5" w:rsidRPr="00E32EA5">
        <w:t xml:space="preserve"> </w:t>
      </w:r>
      <w:proofErr w:type="spellStart"/>
      <w:r w:rsidR="00E32EA5" w:rsidRPr="00E32EA5">
        <w:t>Austria</w:t>
      </w:r>
      <w:proofErr w:type="spellEnd"/>
      <w:r w:rsidR="00E32EA5" w:rsidRPr="00E32EA5">
        <w:t xml:space="preserve"> </w:t>
      </w:r>
      <w:proofErr w:type="spellStart"/>
      <w:r w:rsidR="00E32EA5" w:rsidRPr="00E32EA5">
        <w:t>Group</w:t>
      </w:r>
      <w:proofErr w:type="spellEnd"/>
      <w:r w:rsidR="00E32EA5" w:rsidRPr="00E32EA5">
        <w:t xml:space="preserve">, являющейся европейским подразделением транснационального холдинга </w:t>
      </w:r>
      <w:proofErr w:type="spellStart"/>
      <w:r w:rsidR="00E32EA5" w:rsidRPr="00E32EA5">
        <w:t>América</w:t>
      </w:r>
      <w:proofErr w:type="spellEnd"/>
      <w:r w:rsidR="00E32EA5" w:rsidRPr="00E32EA5">
        <w:t xml:space="preserve"> </w:t>
      </w:r>
      <w:proofErr w:type="spellStart"/>
      <w:r w:rsidR="00E32EA5" w:rsidRPr="00E32EA5">
        <w:t>Móvil</w:t>
      </w:r>
      <w:proofErr w:type="spellEnd"/>
      <w:r w:rsidR="00E32EA5" w:rsidRPr="00E32EA5">
        <w:t xml:space="preserve">, одного из крупнейших мировых провайдеров беспроводных услуг. До августа 2019 г. компания вела операционную деятельность под брендом </w:t>
      </w:r>
      <w:proofErr w:type="spellStart"/>
      <w:r w:rsidR="00E32EA5" w:rsidRPr="00E32EA5">
        <w:t>velcom</w:t>
      </w:r>
      <w:proofErr w:type="spellEnd"/>
      <w:r w:rsidR="00E32EA5" w:rsidRPr="00E32EA5">
        <w:t>.</w:t>
      </w:r>
    </w:p>
    <w:sectPr w:rsidR="00EF69FC" w:rsidRPr="0091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D2"/>
    <w:rsid w:val="000224C8"/>
    <w:rsid w:val="00033545"/>
    <w:rsid w:val="000A093F"/>
    <w:rsid w:val="000D71A2"/>
    <w:rsid w:val="000E7136"/>
    <w:rsid w:val="001619D2"/>
    <w:rsid w:val="001A6850"/>
    <w:rsid w:val="001B353A"/>
    <w:rsid w:val="00245AC9"/>
    <w:rsid w:val="002655C7"/>
    <w:rsid w:val="00284265"/>
    <w:rsid w:val="002A7C31"/>
    <w:rsid w:val="002E1725"/>
    <w:rsid w:val="002E342F"/>
    <w:rsid w:val="003D39E7"/>
    <w:rsid w:val="004B156C"/>
    <w:rsid w:val="004B1E65"/>
    <w:rsid w:val="005215BB"/>
    <w:rsid w:val="00526A4C"/>
    <w:rsid w:val="00561585"/>
    <w:rsid w:val="005C54B2"/>
    <w:rsid w:val="0060154C"/>
    <w:rsid w:val="006071C0"/>
    <w:rsid w:val="00617894"/>
    <w:rsid w:val="006226DD"/>
    <w:rsid w:val="00701325"/>
    <w:rsid w:val="007022D2"/>
    <w:rsid w:val="00713384"/>
    <w:rsid w:val="008218A8"/>
    <w:rsid w:val="00894217"/>
    <w:rsid w:val="008A775D"/>
    <w:rsid w:val="008B57BD"/>
    <w:rsid w:val="008C076A"/>
    <w:rsid w:val="008D5570"/>
    <w:rsid w:val="008E75DD"/>
    <w:rsid w:val="008F2362"/>
    <w:rsid w:val="009C3664"/>
    <w:rsid w:val="009E5E2F"/>
    <w:rsid w:val="009E6F8B"/>
    <w:rsid w:val="00A76F01"/>
    <w:rsid w:val="00A90DA6"/>
    <w:rsid w:val="00A92CD4"/>
    <w:rsid w:val="00B12F81"/>
    <w:rsid w:val="00B14A2B"/>
    <w:rsid w:val="00B539D3"/>
    <w:rsid w:val="00B71FE5"/>
    <w:rsid w:val="00B758FD"/>
    <w:rsid w:val="00BB6C85"/>
    <w:rsid w:val="00BE4614"/>
    <w:rsid w:val="00C67553"/>
    <w:rsid w:val="00C96C1C"/>
    <w:rsid w:val="00D27878"/>
    <w:rsid w:val="00DA2E2B"/>
    <w:rsid w:val="00E042ED"/>
    <w:rsid w:val="00E0799C"/>
    <w:rsid w:val="00E15A73"/>
    <w:rsid w:val="00E22F3D"/>
    <w:rsid w:val="00E32EA5"/>
    <w:rsid w:val="00E956B8"/>
    <w:rsid w:val="00E970BD"/>
    <w:rsid w:val="00EA2DA5"/>
    <w:rsid w:val="00EF69FC"/>
    <w:rsid w:val="00EF7693"/>
    <w:rsid w:val="00F10A54"/>
    <w:rsid w:val="00F3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587F5-3D3C-4323-BD66-AC9D43F0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19D2"/>
    <w:rPr>
      <w:sz w:val="20"/>
    </w:rPr>
  </w:style>
  <w:style w:type="character" w:customStyle="1" w:styleId="a4">
    <w:name w:val="Текст Знак"/>
    <w:basedOn w:val="a0"/>
    <w:link w:val="a3"/>
    <w:rsid w:val="001619D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619D2"/>
    <w:pPr>
      <w:ind w:firstLine="709"/>
    </w:pPr>
  </w:style>
  <w:style w:type="character" w:customStyle="1" w:styleId="30">
    <w:name w:val="Основной текст с отступом 3 Знак"/>
    <w:basedOn w:val="a0"/>
    <w:link w:val="3"/>
    <w:rsid w:val="001619D2"/>
    <w:rPr>
      <w:rFonts w:ascii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EF69FC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F69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F69FC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A2B"/>
    <w:pPr>
      <w:spacing w:before="100" w:beforeAutospacing="1" w:after="100" w:afterAutospacing="1"/>
      <w:jc w:val="left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35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53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1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0x7</dc:creator>
  <cp:keywords/>
  <dc:description/>
  <cp:lastModifiedBy>Володько Юрий Владимирович</cp:lastModifiedBy>
  <cp:revision>3</cp:revision>
  <cp:lastPrinted>2022-12-19T09:31:00Z</cp:lastPrinted>
  <dcterms:created xsi:type="dcterms:W3CDTF">2022-12-21T12:47:00Z</dcterms:created>
  <dcterms:modified xsi:type="dcterms:W3CDTF">2022-12-21T12:47:00Z</dcterms:modified>
</cp:coreProperties>
</file>