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016FE0" w:rsidP="00B17EFB">
      <w:pPr>
        <w:spacing w:after="0" w:line="240" w:lineRule="auto"/>
        <w:jc w:val="center"/>
        <w:rPr>
          <w:b/>
          <w:szCs w:val="28"/>
        </w:rPr>
      </w:pPr>
      <w:r>
        <w:rPr>
          <w:b/>
          <w:szCs w:val="28"/>
        </w:rPr>
        <w:t>МОГИЛЕ</w:t>
      </w:r>
      <w:r w:rsidR="00B17EFB">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016FE0" w:rsidRDefault="00016FE0" w:rsidP="00016FE0">
      <w:pPr>
        <w:spacing w:after="0" w:line="240" w:lineRule="auto"/>
        <w:jc w:val="center"/>
        <w:rPr>
          <w:b/>
          <w:szCs w:val="28"/>
        </w:rPr>
      </w:pPr>
      <w:r>
        <w:rPr>
          <w:b/>
          <w:szCs w:val="28"/>
        </w:rPr>
        <w:t>МОГИЛЕВСКИЙ РАЙОННЫЙ</w:t>
      </w:r>
    </w:p>
    <w:p w:rsidR="00B17EFB" w:rsidRDefault="00016FE0" w:rsidP="00016FE0">
      <w:pPr>
        <w:spacing w:after="0" w:line="240" w:lineRule="auto"/>
        <w:jc w:val="center"/>
        <w:rPr>
          <w:b/>
          <w:szCs w:val="28"/>
        </w:rPr>
      </w:pPr>
      <w:r>
        <w:rPr>
          <w:b/>
          <w:szCs w:val="28"/>
        </w:rPr>
        <w:t>ИСПОЛНИТЕЛЬНЫЙ КОМИТЕТ</w:t>
      </w:r>
    </w:p>
    <w:p w:rsidR="00016FE0" w:rsidRDefault="00016FE0" w:rsidP="00016FE0">
      <w:pPr>
        <w:spacing w:after="0" w:line="240" w:lineRule="auto"/>
        <w:jc w:val="center"/>
        <w:rPr>
          <w:b/>
          <w:szCs w:val="28"/>
        </w:rPr>
      </w:pPr>
    </w:p>
    <w:p w:rsidR="00016FE0" w:rsidRDefault="00016FE0" w:rsidP="00016FE0">
      <w:pPr>
        <w:spacing w:after="0" w:line="240" w:lineRule="auto"/>
        <w:jc w:val="center"/>
        <w:rPr>
          <w:b/>
          <w:szCs w:val="28"/>
        </w:rPr>
      </w:pPr>
      <w:r>
        <w:rPr>
          <w:b/>
          <w:szCs w:val="28"/>
        </w:rPr>
        <w:t>ОТДЕЛ ИДЕОЛОГИЧЕСКОЙ РАБОТЫ</w:t>
      </w:r>
    </w:p>
    <w:p w:rsidR="00016FE0" w:rsidRDefault="00016FE0" w:rsidP="00016FE0">
      <w:pPr>
        <w:spacing w:after="0" w:line="240" w:lineRule="auto"/>
        <w:jc w:val="center"/>
        <w:rPr>
          <w:b/>
          <w:szCs w:val="28"/>
        </w:rPr>
      </w:pPr>
      <w:r>
        <w:rPr>
          <w:b/>
          <w:szCs w:val="28"/>
        </w:rPr>
        <w:t xml:space="preserve"> И ПО ДЕЛАМ МОЛОДЕЖИ </w:t>
      </w:r>
    </w:p>
    <w:p w:rsidR="00B17EFB" w:rsidRDefault="00B17EFB" w:rsidP="00016FE0">
      <w:pPr>
        <w:spacing w:after="0" w:line="240" w:lineRule="auto"/>
        <w:jc w:val="center"/>
        <w:rPr>
          <w:b/>
          <w:szCs w:val="28"/>
        </w:rPr>
      </w:pPr>
    </w:p>
    <w:p w:rsidR="00B17EFB" w:rsidRDefault="00B17EFB" w:rsidP="00016FE0">
      <w:pPr>
        <w:spacing w:after="0" w:line="240" w:lineRule="auto"/>
        <w:jc w:val="center"/>
        <w:rPr>
          <w:b/>
          <w:szCs w:val="28"/>
        </w:rPr>
      </w:pPr>
    </w:p>
    <w:p w:rsidR="00B17EFB" w:rsidRDefault="00B17EFB" w:rsidP="00016FE0">
      <w:pPr>
        <w:spacing w:after="0" w:line="240" w:lineRule="auto"/>
        <w:jc w:val="center"/>
        <w:rPr>
          <w:b/>
          <w:szCs w:val="28"/>
        </w:rPr>
      </w:pPr>
    </w:p>
    <w:p w:rsidR="00B17EFB" w:rsidRDefault="00B17EFB" w:rsidP="00016FE0">
      <w:pPr>
        <w:spacing w:after="0" w:line="240" w:lineRule="auto"/>
        <w:jc w:val="center"/>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016FE0" w:rsidRDefault="00C0506C" w:rsidP="00CC3293">
      <w:pPr>
        <w:spacing w:after="0" w:line="240" w:lineRule="auto"/>
        <w:ind w:firstLine="709"/>
        <w:jc w:val="center"/>
        <w:rPr>
          <w:b/>
          <w:bCs/>
          <w:sz w:val="48"/>
          <w:szCs w:val="48"/>
        </w:rPr>
      </w:pPr>
      <w:r>
        <w:rPr>
          <w:b/>
          <w:bCs/>
          <w:sz w:val="48"/>
          <w:szCs w:val="48"/>
        </w:rPr>
        <w:t xml:space="preserve">Выборы депутатов 2024: </w:t>
      </w:r>
    </w:p>
    <w:p w:rsidR="00CC3293" w:rsidRPr="00CC3293" w:rsidRDefault="00C0506C" w:rsidP="00CC3293">
      <w:pPr>
        <w:spacing w:after="0" w:line="240" w:lineRule="auto"/>
        <w:ind w:firstLine="709"/>
        <w:jc w:val="center"/>
        <w:rPr>
          <w:b/>
          <w:bCs/>
          <w:sz w:val="48"/>
          <w:szCs w:val="48"/>
        </w:rPr>
      </w:pPr>
      <w:r>
        <w:rPr>
          <w:b/>
          <w:bCs/>
          <w:sz w:val="48"/>
          <w:szCs w:val="48"/>
        </w:rPr>
        <w:t>факты и аргументы</w:t>
      </w:r>
    </w:p>
    <w:p w:rsidR="00B17EFB" w:rsidRDefault="00B17EFB"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016FE0" w:rsidP="00B17EFB">
      <w:pPr>
        <w:spacing w:after="0" w:line="240" w:lineRule="auto"/>
        <w:jc w:val="center"/>
        <w:rPr>
          <w:b/>
          <w:szCs w:val="28"/>
        </w:rPr>
      </w:pPr>
      <w:r>
        <w:rPr>
          <w:b/>
          <w:szCs w:val="28"/>
        </w:rPr>
        <w:t xml:space="preserve">Могилевский район </w:t>
      </w:r>
    </w:p>
    <w:p w:rsidR="00B17EFB" w:rsidRDefault="00AC1952" w:rsidP="00B17EFB">
      <w:pPr>
        <w:spacing w:after="0" w:line="240" w:lineRule="auto"/>
        <w:jc w:val="center"/>
        <w:rPr>
          <w:b/>
          <w:szCs w:val="28"/>
        </w:rPr>
      </w:pPr>
      <w:r>
        <w:rPr>
          <w:b/>
          <w:szCs w:val="28"/>
        </w:rPr>
        <w:t>февраль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463"/>
      </w:tblGrid>
      <w:tr w:rsidR="00B17EFB" w:rsidTr="00016FE0">
        <w:tc>
          <w:tcPr>
            <w:tcW w:w="9606" w:type="dxa"/>
          </w:tcPr>
          <w:p w:rsidR="00B17EFB" w:rsidRDefault="00E82D90" w:rsidP="00B17EFB">
            <w:pPr>
              <w:pStyle w:val="a8"/>
              <w:numPr>
                <w:ilvl w:val="0"/>
                <w:numId w:val="9"/>
              </w:numPr>
              <w:ind w:left="34" w:right="-396" w:hanging="5"/>
              <w:rPr>
                <w:rFonts w:ascii="Times New Roman" w:hAnsi="Times New Roman"/>
                <w:bCs/>
                <w:sz w:val="30"/>
                <w:szCs w:val="30"/>
                <w:lang w:val="ru-RU"/>
              </w:rPr>
            </w:pPr>
            <w:r w:rsidRPr="00E82D90">
              <w:rPr>
                <w:rFonts w:ascii="Times New Roman" w:hAnsi="Times New Roman"/>
                <w:bCs/>
                <w:sz w:val="30"/>
                <w:szCs w:val="30"/>
                <w:lang w:val="ru-RU"/>
              </w:rPr>
              <w:t>Выборы</w:t>
            </w:r>
            <w:r>
              <w:rPr>
                <w:rFonts w:ascii="Times New Roman" w:hAnsi="Times New Roman"/>
                <w:bCs/>
                <w:sz w:val="30"/>
                <w:szCs w:val="30"/>
                <w:lang w:val="ru-RU"/>
              </w:rPr>
              <w:t xml:space="preserve"> депутатов 2024: факты и аргументы</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p>
          <w:p w:rsidR="00B17EFB" w:rsidRDefault="00B17EFB" w:rsidP="00784C3E">
            <w:pPr>
              <w:pStyle w:val="a8"/>
              <w:ind w:left="57" w:right="-396"/>
              <w:rPr>
                <w:rFonts w:ascii="Times New Roman" w:hAnsi="Times New Roman"/>
                <w:bCs/>
                <w:sz w:val="30"/>
                <w:szCs w:val="30"/>
                <w:lang w:val="ru-RU"/>
              </w:rPr>
            </w:pPr>
          </w:p>
        </w:tc>
        <w:tc>
          <w:tcPr>
            <w:tcW w:w="463" w:type="dxa"/>
          </w:tcPr>
          <w:p w:rsidR="00B17EFB" w:rsidRDefault="00B17EFB" w:rsidP="00784C3E">
            <w:pPr>
              <w:rPr>
                <w:rFonts w:ascii="Times New Roman" w:hAnsi="Times New Roman"/>
                <w:bCs/>
                <w:sz w:val="30"/>
                <w:szCs w:val="30"/>
                <w:lang w:val="ru-RU"/>
              </w:rPr>
            </w:pPr>
          </w:p>
        </w:tc>
      </w:tr>
      <w:tr w:rsidR="00B17EFB" w:rsidTr="00016FE0">
        <w:trPr>
          <w:gridAfter w:val="1"/>
          <w:wAfter w:w="463" w:type="dxa"/>
        </w:trPr>
        <w:tc>
          <w:tcPr>
            <w:tcW w:w="9606" w:type="dxa"/>
          </w:tcPr>
          <w:p w:rsidR="00B17EFB" w:rsidRPr="00E82D90" w:rsidRDefault="00E82D90" w:rsidP="00B17EFB">
            <w:pPr>
              <w:pStyle w:val="a8"/>
              <w:numPr>
                <w:ilvl w:val="0"/>
                <w:numId w:val="9"/>
              </w:numPr>
              <w:ind w:left="34" w:firstLine="23"/>
              <w:rPr>
                <w:rFonts w:ascii="Times New Roman" w:hAnsi="Times New Roman"/>
                <w:bCs/>
                <w:sz w:val="30"/>
                <w:szCs w:val="30"/>
                <w:lang w:val="ru-RU"/>
              </w:rPr>
            </w:pPr>
            <w:r w:rsidRPr="00E82D90">
              <w:rPr>
                <w:rFonts w:ascii="Times New Roman" w:hAnsi="Times New Roman" w:cs="Times New Roman"/>
                <w:bCs/>
                <w:sz w:val="30"/>
                <w:szCs w:val="30"/>
                <w:lang w:val="ru-RU"/>
              </w:rPr>
              <w:t>Основные изменения, внесенные в Налоговый Кодекс Р</w:t>
            </w:r>
            <w:r>
              <w:rPr>
                <w:rFonts w:ascii="Times New Roman" w:hAnsi="Times New Roman" w:cs="Times New Roman"/>
                <w:bCs/>
                <w:sz w:val="30"/>
                <w:szCs w:val="30"/>
                <w:lang w:val="ru-RU"/>
              </w:rPr>
              <w:t>еспублики Беларусь с 1 января 2024 года</w:t>
            </w:r>
            <w:r w:rsidR="00757883" w:rsidRPr="00E82D90">
              <w:rPr>
                <w:rFonts w:ascii="Times New Roman" w:hAnsi="Times New Roman" w:cs="Times New Roman"/>
                <w:bCs/>
                <w:sz w:val="30"/>
                <w:szCs w:val="30"/>
                <w:lang w:val="ru-RU"/>
              </w:rPr>
              <w:t xml:space="preserve"> </w:t>
            </w:r>
            <w:r w:rsidR="006D65CE"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p>
          <w:p w:rsidR="00B17EFB" w:rsidRPr="00E82D90" w:rsidRDefault="00B17EFB" w:rsidP="00784C3E">
            <w:pPr>
              <w:pStyle w:val="a8"/>
              <w:ind w:left="57"/>
              <w:rPr>
                <w:rFonts w:ascii="Times New Roman" w:hAnsi="Times New Roman"/>
                <w:bCs/>
                <w:sz w:val="30"/>
                <w:szCs w:val="30"/>
                <w:lang w:val="ru-RU"/>
              </w:rPr>
            </w:pPr>
          </w:p>
        </w:tc>
      </w:tr>
      <w:tr w:rsidR="00B17EFB" w:rsidTr="00016FE0">
        <w:trPr>
          <w:gridAfter w:val="1"/>
          <w:wAfter w:w="463" w:type="dxa"/>
        </w:trPr>
        <w:tc>
          <w:tcPr>
            <w:tcW w:w="9606" w:type="dxa"/>
          </w:tcPr>
          <w:p w:rsidR="00B17EFB" w:rsidRPr="00E82D90" w:rsidRDefault="00E82D90" w:rsidP="00B17EFB">
            <w:pPr>
              <w:pStyle w:val="a8"/>
              <w:numPr>
                <w:ilvl w:val="0"/>
                <w:numId w:val="9"/>
              </w:numPr>
              <w:ind w:left="0" w:firstLine="0"/>
              <w:jc w:val="both"/>
              <w:rPr>
                <w:rFonts w:ascii="Times New Roman" w:hAnsi="Times New Roman"/>
                <w:bCs/>
                <w:sz w:val="30"/>
                <w:szCs w:val="30"/>
                <w:lang w:val="ru-RU"/>
              </w:rPr>
            </w:pPr>
            <w:r>
              <w:rPr>
                <w:rFonts w:ascii="Times New Roman" w:hAnsi="Times New Roman" w:cs="Times New Roman"/>
                <w:bCs/>
                <w:sz w:val="30"/>
                <w:szCs w:val="30"/>
                <w:lang w:val="ru-RU"/>
              </w:rPr>
              <w:t>Негативные последствия употребления алкоголя</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p>
          <w:p w:rsidR="00B17EFB" w:rsidRPr="00E82D90" w:rsidRDefault="00B17EFB" w:rsidP="00784C3E">
            <w:pPr>
              <w:pStyle w:val="a8"/>
              <w:ind w:left="0"/>
              <w:jc w:val="both"/>
              <w:rPr>
                <w:rFonts w:ascii="Times New Roman" w:hAnsi="Times New Roman"/>
                <w:bCs/>
                <w:sz w:val="30"/>
                <w:szCs w:val="30"/>
                <w:lang w:val="ru-RU"/>
              </w:rPr>
            </w:pPr>
          </w:p>
        </w:tc>
      </w:tr>
      <w:tr w:rsidR="00B17EFB" w:rsidTr="00016FE0">
        <w:trPr>
          <w:gridAfter w:val="1"/>
          <w:wAfter w:w="463" w:type="dxa"/>
        </w:trPr>
        <w:tc>
          <w:tcPr>
            <w:tcW w:w="9606" w:type="dxa"/>
          </w:tcPr>
          <w:p w:rsidR="00B17EFB" w:rsidRPr="00E82D90" w:rsidRDefault="00E82D90"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Предупреждение гибели и травматизм детей. Печная безопасность. Неосторожное обращение с огнем. Электробезопасность. АПИ. Лед </w:t>
            </w:r>
          </w:p>
        </w:tc>
      </w:tr>
      <w:tr w:rsidR="00757883" w:rsidTr="00016FE0">
        <w:trPr>
          <w:gridAfter w:val="1"/>
          <w:wAfter w:w="463" w:type="dxa"/>
        </w:trPr>
        <w:tc>
          <w:tcPr>
            <w:tcW w:w="9606" w:type="dxa"/>
          </w:tcPr>
          <w:p w:rsidR="00757883" w:rsidRPr="00961185" w:rsidRDefault="00757883" w:rsidP="00757883">
            <w:pPr>
              <w:pStyle w:val="a8"/>
              <w:spacing w:line="280" w:lineRule="exact"/>
              <w:ind w:left="0"/>
              <w:jc w:val="both"/>
              <w:rPr>
                <w:rFonts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016FE0">
      <w:pPr>
        <w:spacing w:after="0" w:line="280" w:lineRule="exact"/>
        <w:jc w:val="both"/>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8"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C0506C" w:rsidRDefault="00C0506C" w:rsidP="00C0506C">
      <w:pPr>
        <w:spacing w:after="0" w:line="240" w:lineRule="auto"/>
        <w:jc w:val="center"/>
        <w:rPr>
          <w:b/>
          <w:sz w:val="30"/>
          <w:szCs w:val="30"/>
        </w:rPr>
      </w:pPr>
      <w:r>
        <w:rPr>
          <w:b/>
          <w:sz w:val="30"/>
          <w:szCs w:val="30"/>
        </w:rPr>
        <w:lastRenderedPageBreak/>
        <w:t>ВЫБОРЫ ДЕПУТАТОВ 2024: АРГУМЕНТЫ И ФАКТЫ</w:t>
      </w:r>
    </w:p>
    <w:p w:rsidR="00C0506C" w:rsidRDefault="00C0506C" w:rsidP="00C0506C">
      <w:pPr>
        <w:spacing w:after="0" w:line="240" w:lineRule="auto"/>
        <w:jc w:val="center"/>
        <w:rPr>
          <w:b/>
          <w:bCs/>
          <w:sz w:val="20"/>
          <w:szCs w:val="20"/>
        </w:rPr>
      </w:pPr>
      <w:r>
        <w:rPr>
          <w:i/>
          <w:sz w:val="20"/>
          <w:szCs w:val="20"/>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«БелТА» и газеты «СБ. Беларусь сегодня»</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Default="00C0506C" w:rsidP="00C0506C">
      <w:pPr>
        <w:spacing w:after="0" w:line="240" w:lineRule="auto"/>
        <w:ind w:firstLine="709"/>
        <w:jc w:val="both"/>
        <w:rPr>
          <w:rFonts w:eastAsia="Calibri"/>
          <w:sz w:val="30"/>
          <w:szCs w:val="30"/>
        </w:rPr>
      </w:pPr>
      <w:r>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Pr>
          <w:sz w:val="30"/>
          <w:szCs w:val="30"/>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C0506C">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 xml:space="preserve">А.Г.Лукашенко 20 ноября 2023 г. подписал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C0506C" w:rsidRDefault="00C0506C" w:rsidP="00C0506C">
      <w:pPr>
        <w:spacing w:after="0" w:line="240" w:lineRule="auto"/>
        <w:ind w:firstLine="708"/>
        <w:jc w:val="both"/>
        <w:rPr>
          <w:bCs/>
          <w:sz w:val="30"/>
          <w:szCs w:val="30"/>
        </w:rPr>
      </w:pPr>
      <w:r>
        <w:rPr>
          <w:b/>
          <w:bCs/>
          <w:sz w:val="30"/>
          <w:szCs w:val="30"/>
        </w:rPr>
        <w:t>ВЫБОРЫ ДЕПУТАТОВ СОСТОЯТСЯ В ЕДИНЫЙ ДЕНЬ ГОЛОСОВАНИЯ – 25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Pr>
          <w:rFonts w:eastAsia="Times New Roman"/>
          <w:b/>
          <w:bCs/>
          <w:sz w:val="30"/>
          <w:szCs w:val="30"/>
          <w:lang w:eastAsia="ru-RU"/>
        </w:rPr>
        <w:t xml:space="preserve">110 </w:t>
      </w:r>
      <w:r>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Pr>
          <w:rFonts w:eastAsia="Times New Roman"/>
          <w:b/>
          <w:sz w:val="30"/>
          <w:szCs w:val="30"/>
          <w:lang w:eastAsia="ru-RU"/>
        </w:rPr>
        <w:t>13</w:t>
      </w:r>
      <w:r>
        <w:rPr>
          <w:rFonts w:eastAsia="Times New Roman"/>
          <w:bCs/>
          <w:sz w:val="30"/>
          <w:szCs w:val="30"/>
          <w:lang w:eastAsia="ru-RU"/>
        </w:rPr>
        <w:t xml:space="preserve"> депутатов) и </w:t>
      </w:r>
      <w:r>
        <w:rPr>
          <w:rFonts w:eastAsia="Times New Roman"/>
          <w:bCs/>
          <w:sz w:val="30"/>
          <w:szCs w:val="30"/>
          <w:lang w:eastAsia="ru-RU"/>
        </w:rPr>
        <w:br/>
      </w:r>
      <w:r>
        <w:rPr>
          <w:rFonts w:eastAsia="Times New Roman"/>
          <w:b/>
          <w:sz w:val="30"/>
          <w:szCs w:val="30"/>
          <w:lang w:eastAsia="ru-RU"/>
        </w:rPr>
        <w:t>12 514</w:t>
      </w:r>
      <w:r>
        <w:rPr>
          <w:rFonts w:eastAsia="Times New Roman"/>
          <w:sz w:val="30"/>
          <w:szCs w:val="30"/>
          <w:lang w:eastAsia="ru-RU"/>
        </w:rPr>
        <w:t xml:space="preserve"> </w:t>
      </w:r>
      <w:r>
        <w:rPr>
          <w:rFonts w:eastAsia="Times New Roman"/>
          <w:bCs/>
          <w:sz w:val="30"/>
          <w:szCs w:val="30"/>
          <w:lang w:eastAsia="ru-RU"/>
        </w:rPr>
        <w:t xml:space="preserve">депутатов </w:t>
      </w:r>
      <w:r>
        <w:rPr>
          <w:rFonts w:eastAsia="Times New Roman"/>
          <w:sz w:val="30"/>
          <w:szCs w:val="30"/>
          <w:lang w:eastAsia="ru-RU"/>
        </w:rPr>
        <w:t>местных Советов депутатов.</w:t>
      </w:r>
    </w:p>
    <w:p w:rsidR="00C0506C" w:rsidRDefault="00C0506C" w:rsidP="00C0506C">
      <w:pPr>
        <w:widowControl w:val="0"/>
        <w:overflowPunct w:val="0"/>
        <w:autoSpaceDE w:val="0"/>
        <w:autoSpaceDN w:val="0"/>
        <w:adjustRightInd w:val="0"/>
        <w:spacing w:after="0" w:line="280" w:lineRule="exact"/>
        <w:jc w:val="both"/>
        <w:rPr>
          <w:rFonts w:eastAsia="Times New Roman"/>
          <w:i/>
          <w:szCs w:val="28"/>
          <w:lang w:eastAsia="ru-RU"/>
        </w:rPr>
      </w:pPr>
      <w:r>
        <w:rPr>
          <w:rFonts w:eastAsia="Times New Roman"/>
          <w:b/>
          <w:i/>
          <w:szCs w:val="28"/>
          <w:lang w:eastAsia="ru-RU"/>
        </w:rPr>
        <w:t xml:space="preserve">Справочно: </w:t>
      </w:r>
      <w:r>
        <w:rPr>
          <w:rFonts w:eastAsia="Times New Roman"/>
          <w:bCs/>
          <w:i/>
          <w:szCs w:val="28"/>
          <w:lang w:eastAsia="ru-RU"/>
        </w:rPr>
        <w:t>в</w:t>
      </w:r>
      <w:r>
        <w:rPr>
          <w:rFonts w:eastAsia="Times New Roman"/>
          <w:i/>
          <w:szCs w:val="28"/>
          <w:lang w:eastAsia="ru-RU"/>
        </w:rPr>
        <w:t xml:space="preserve"> областные и Минский городской Советы – 388 депутатов(в Могилевский областной Совет – 52</w:t>
      </w:r>
      <w:r>
        <w:rPr>
          <w:rFonts w:eastAsia="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
          <w:bCs/>
          <w:sz w:val="30"/>
          <w:szCs w:val="30"/>
          <w:lang w:eastAsia="ru-RU"/>
        </w:rPr>
        <w:t>В единый день голосования</w:t>
      </w:r>
      <w:r>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Pr>
          <w:rFonts w:eastAsia="Times New Roman"/>
          <w:b/>
          <w:bCs/>
          <w:sz w:val="30"/>
          <w:szCs w:val="30"/>
          <w:lang w:eastAsia="ru-RU"/>
        </w:rPr>
        <w:t>досрочного голосования с 20 по 24 февраля</w:t>
      </w:r>
      <w:r>
        <w:rPr>
          <w:rFonts w:eastAsia="Times New Roman"/>
          <w:bCs/>
          <w:sz w:val="30"/>
          <w:szCs w:val="30"/>
          <w:lang w:eastAsia="ru-RU"/>
        </w:rPr>
        <w:t xml:space="preserve"> с 12:00 до 19:00.</w:t>
      </w:r>
    </w:p>
    <w:p w:rsidR="00C0506C" w:rsidRDefault="00C0506C" w:rsidP="00C0506C">
      <w:pPr>
        <w:widowControl w:val="0"/>
        <w:overflowPunct w:val="0"/>
        <w:autoSpaceDE w:val="0"/>
        <w:autoSpaceDN w:val="0"/>
        <w:adjustRightInd w:val="0"/>
        <w:spacing w:after="0" w:line="232" w:lineRule="auto"/>
        <w:ind w:firstLine="709"/>
        <w:jc w:val="both"/>
        <w:rPr>
          <w:rFonts w:eastAsia="Calibri"/>
          <w:color w:val="000000"/>
          <w:sz w:val="30"/>
          <w:szCs w:val="30"/>
          <w:shd w:val="clear" w:color="auto" w:fill="FFFFFF"/>
        </w:rPr>
      </w:pPr>
      <w:r>
        <w:rPr>
          <w:color w:val="000000"/>
          <w:sz w:val="30"/>
          <w:szCs w:val="30"/>
          <w:shd w:val="clear" w:color="auto" w:fill="FFFFFF"/>
        </w:rPr>
        <w:t xml:space="preserve">Наряду с этим будет организовано </w:t>
      </w:r>
      <w:r>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Pr>
          <w:b/>
          <w:color w:val="000000"/>
          <w:sz w:val="30"/>
          <w:szCs w:val="30"/>
          <w:shd w:val="clear" w:color="auto" w:fill="FFFFFF"/>
        </w:rPr>
        <w:t>Проголосовать на дому можно будет только 25 февраля</w:t>
      </w:r>
      <w:r>
        <w:rPr>
          <w:color w:val="000000"/>
          <w:sz w:val="30"/>
          <w:szCs w:val="30"/>
          <w:shd w:val="clear" w:color="auto" w:fill="FFFFFF"/>
        </w:rPr>
        <w:t>.</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С 9 февраля </w:t>
      </w:r>
      <w:r>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w:t>
      </w:r>
      <w:r>
        <w:rPr>
          <w:rFonts w:eastAsia="Times New Roman"/>
          <w:bCs/>
          <w:sz w:val="30"/>
          <w:szCs w:val="30"/>
          <w:lang w:eastAsia="ru-RU"/>
        </w:rPr>
        <w:lastRenderedPageBreak/>
        <w:t>он в список для голосования по месту проживания и правильно ли указаны сведения о нем.</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 xml:space="preserve">Граждане, которые постоянно проживают за границей, смогут приехать в страну и проголосовать на участке № 248, расположенном в </w:t>
      </w:r>
      <w:proofErr w:type="spellStart"/>
      <w:r>
        <w:rPr>
          <w:rFonts w:eastAsia="Times New Roman"/>
          <w:sz w:val="30"/>
          <w:szCs w:val="30"/>
          <w:lang w:eastAsia="ru-RU"/>
        </w:rPr>
        <w:t>г.Минске</w:t>
      </w:r>
      <w:proofErr w:type="spellEnd"/>
      <w:r>
        <w:rPr>
          <w:rFonts w:eastAsia="Times New Roman"/>
          <w:sz w:val="30"/>
          <w:szCs w:val="30"/>
          <w:lang w:eastAsia="ru-RU"/>
        </w:rPr>
        <w:t xml:space="preserve"> по адресу: ул. Свердлова, д. 30 (ГУО «Гимназия № 75 </w:t>
      </w:r>
      <w:r>
        <w:rPr>
          <w:rFonts w:eastAsia="Times New Roman"/>
          <w:sz w:val="30"/>
          <w:szCs w:val="30"/>
          <w:lang w:eastAsia="ru-RU"/>
        </w:rPr>
        <w:br/>
        <w:t xml:space="preserve">им. </w:t>
      </w:r>
      <w:proofErr w:type="spellStart"/>
      <w:r>
        <w:rPr>
          <w:rFonts w:eastAsia="Times New Roman"/>
          <w:sz w:val="30"/>
          <w:szCs w:val="30"/>
          <w:lang w:eastAsia="ru-RU"/>
        </w:rPr>
        <w:t>П.В.Масленикова</w:t>
      </w:r>
      <w:proofErr w:type="spellEnd"/>
      <w:r>
        <w:rPr>
          <w:rFonts w:eastAsia="Times New Roman"/>
          <w:sz w:val="30"/>
          <w:szCs w:val="30"/>
          <w:lang w:eastAsia="ru-RU"/>
        </w:rPr>
        <w:t>»). Если у гражданина есть регистрация по месту пребывания, он будет включен в списки по месту регистрации.</w:t>
      </w:r>
    </w:p>
    <w:p w:rsidR="00C0506C" w:rsidRDefault="00C0506C" w:rsidP="00C0506C">
      <w:pPr>
        <w:widowControl w:val="0"/>
        <w:overflowPunct w:val="0"/>
        <w:autoSpaceDE w:val="0"/>
        <w:autoSpaceDN w:val="0"/>
        <w:adjustRightInd w:val="0"/>
        <w:spacing w:after="0" w:line="280" w:lineRule="exact"/>
        <w:jc w:val="both"/>
        <w:rPr>
          <w:rFonts w:eastAsia="Times New Roman"/>
          <w:bCs/>
          <w:i/>
          <w:color w:val="000000"/>
          <w:sz w:val="30"/>
          <w:szCs w:val="30"/>
          <w:lang w:eastAsia="ru-RU"/>
        </w:rPr>
      </w:pPr>
      <w:r>
        <w:rPr>
          <w:rFonts w:eastAsia="Times New Roman"/>
          <w:b/>
          <w:i/>
          <w:szCs w:val="28"/>
          <w:lang w:eastAsia="ru-RU"/>
        </w:rPr>
        <w:t xml:space="preserve">Справочно: </w:t>
      </w:r>
      <w:r>
        <w:rPr>
          <w:rFonts w:eastAsia="Times New Roman"/>
          <w:bCs/>
          <w:i/>
          <w:szCs w:val="28"/>
          <w:lang w:eastAsia="ru-RU"/>
        </w:rPr>
        <w:t>р</w:t>
      </w:r>
      <w:r>
        <w:rPr>
          <w:rFonts w:eastAsia="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Pr>
          <w:rFonts w:eastAsia="Times New Roman"/>
          <w:bCs/>
          <w:i/>
          <w:color w:val="000000"/>
          <w:spacing w:val="-2"/>
          <w:szCs w:val="28"/>
          <w:lang w:eastAsia="ru-RU"/>
        </w:rPr>
        <w:t>численности работников дипломатических служб, неблагоприятной</w:t>
      </w:r>
      <w:r>
        <w:rPr>
          <w:rFonts w:eastAsia="Times New Roman"/>
          <w:bCs/>
          <w:i/>
          <w:color w:val="000000"/>
          <w:szCs w:val="28"/>
          <w:lang w:eastAsia="ru-RU"/>
        </w:rPr>
        <w:t xml:space="preserve"> эпидемиологической обстановкой. </w:t>
      </w:r>
    </w:p>
    <w:p w:rsidR="00C0506C" w:rsidRDefault="00C0506C" w:rsidP="00C0506C">
      <w:pPr>
        <w:shd w:val="clear" w:color="auto" w:fill="FFFFFF"/>
        <w:spacing w:after="0" w:line="240" w:lineRule="auto"/>
        <w:outlineLvl w:val="1"/>
        <w:rPr>
          <w:rFonts w:eastAsia="Times New Roman"/>
          <w:b/>
          <w:bCs/>
          <w:color w:val="000000"/>
          <w:sz w:val="30"/>
          <w:szCs w:val="30"/>
          <w:lang w:eastAsia="ru-RU"/>
        </w:rPr>
      </w:pPr>
      <w:r>
        <w:rPr>
          <w:rFonts w:eastAsia="Times New Roman"/>
          <w:b/>
          <w:bCs/>
          <w:color w:val="000000"/>
          <w:sz w:val="30"/>
          <w:szCs w:val="30"/>
          <w:lang w:eastAsia="ru-RU"/>
        </w:rPr>
        <w:t>На избирательном участке избиратели получат: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Минске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2 бюллетеня</w:t>
      </w:r>
      <w:r>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областных и районных центрах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3 бюллетеня</w:t>
      </w:r>
      <w:r>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Pr>
          <w:rFonts w:eastAsia="Times New Roman"/>
          <w:sz w:val="30"/>
          <w:szCs w:val="30"/>
          <w:shd w:val="clear" w:color="auto" w:fill="FFFFFF"/>
          <w:lang w:eastAsia="ru-RU"/>
        </w:rPr>
        <w:t xml:space="preserve">в сельской местности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4 бюллетеня</w:t>
      </w:r>
      <w:r>
        <w:rPr>
          <w:rFonts w:eastAsia="Times New Roman"/>
          <w:sz w:val="30"/>
          <w:szCs w:val="30"/>
          <w:shd w:val="clear" w:color="auto" w:fill="FFFFFF"/>
          <w:lang w:eastAsia="ru-RU"/>
        </w:rPr>
        <w:t xml:space="preserve">: по выборам депутатов Палаты </w:t>
      </w:r>
      <w:r>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C0506C" w:rsidRDefault="00C0506C" w:rsidP="00C0506C">
      <w:pPr>
        <w:widowControl w:val="0"/>
        <w:overflowPunct w:val="0"/>
        <w:autoSpaceDE w:val="0"/>
        <w:autoSpaceDN w:val="0"/>
        <w:adjustRightInd w:val="0"/>
        <w:spacing w:after="0" w:line="240" w:lineRule="auto"/>
        <w:jc w:val="center"/>
        <w:rPr>
          <w:rFonts w:eastAsia="Times New Roman"/>
          <w:b/>
          <w:bCs/>
          <w:sz w:val="30"/>
          <w:szCs w:val="30"/>
          <w:lang w:eastAsia="ru-RU"/>
        </w:rPr>
      </w:pPr>
      <w:r>
        <w:rPr>
          <w:rFonts w:eastAsia="Times New Roman"/>
          <w:b/>
          <w:bCs/>
          <w:sz w:val="30"/>
          <w:szCs w:val="30"/>
          <w:lang w:eastAsia="ru-RU"/>
        </w:rPr>
        <w:t>ВЫБОРЫ В СОВЕТ РЕСПУБЛИКИ НАЦИОНАЛЬНОГО СОБРАНИЯ ВОСЬМОГО СОЗЫВА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Pr>
          <w:rFonts w:eastAsia="Times New Roman"/>
          <w:b/>
          <w:bCs/>
          <w:i/>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Как отмечают эксперты, организация и проведение выборов в Беларуси демонстрируют возросшую сознательность всего </w:t>
      </w:r>
      <w:r>
        <w:rPr>
          <w:rFonts w:eastAsia="Times New Roman"/>
          <w:bCs/>
          <w:sz w:val="30"/>
          <w:szCs w:val="30"/>
          <w:lang w:eastAsia="ru-RU"/>
        </w:rPr>
        <w:lastRenderedPageBreak/>
        <w:t>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КОНКУРЕНЦИЯ ВМЕСТО КОНФРОНТАЦИИ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Pr>
          <w:rFonts w:eastAsia="Times New Roman"/>
          <w:bCs/>
          <w:sz w:val="30"/>
          <w:szCs w:val="30"/>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Pr>
          <w:rFonts w:eastAsia="Times New Roman"/>
          <w:bCs/>
          <w:sz w:val="30"/>
          <w:szCs w:val="30"/>
          <w:lang w:eastAsia="ru-RU"/>
        </w:rPr>
        <w:br/>
        <w:t xml:space="preserve">0,4% (1 человек)). А большая часть т.н. «независимых» выдвиженцев только и делали, что призывали к слому конституционного строя. По </w:t>
      </w:r>
      <w:proofErr w:type="gramStart"/>
      <w:r>
        <w:rPr>
          <w:rFonts w:eastAsia="Times New Roman"/>
          <w:bCs/>
          <w:sz w:val="30"/>
          <w:szCs w:val="30"/>
          <w:lang w:eastAsia="ru-RU"/>
        </w:rPr>
        <w:t>сути</w:t>
      </w:r>
      <w:proofErr w:type="gramEnd"/>
      <w:r>
        <w:rPr>
          <w:rFonts w:eastAsia="Times New Roman"/>
          <w:bCs/>
          <w:sz w:val="30"/>
          <w:szCs w:val="30"/>
          <w:lang w:eastAsia="ru-RU"/>
        </w:rPr>
        <w:t xml:space="preserve"> при кажущемся изобилии у избирателей выбор был один: между хаосом и эволюционным развитием. Этот выбор всегда был очевиден.</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Прямым свидетельством того, что на выборах депутатов 2024 года обеспечена </w:t>
      </w:r>
      <w:r>
        <w:rPr>
          <w:rFonts w:eastAsia="Times New Roman"/>
          <w:bCs/>
          <w:spacing w:val="-6"/>
          <w:sz w:val="30"/>
          <w:szCs w:val="30"/>
          <w:lang w:eastAsia="ru-RU"/>
        </w:rPr>
        <w:t>состязательность и конкуренция является статистика зарегистрированных</w:t>
      </w:r>
      <w:r>
        <w:rPr>
          <w:rFonts w:eastAsia="Times New Roman"/>
          <w:bCs/>
          <w:sz w:val="30"/>
          <w:szCs w:val="30"/>
          <w:lang w:eastAsia="ru-RU"/>
        </w:rPr>
        <w:t xml:space="preserve"> кандидатов в депутаты.</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i/>
          <w:szCs w:val="28"/>
          <w:lang w:eastAsia="ru-RU"/>
        </w:rPr>
        <w:t>в</w:t>
      </w:r>
      <w:r>
        <w:rPr>
          <w:rFonts w:eastAsia="Times New Roman"/>
          <w:bCs/>
          <w:i/>
          <w:szCs w:val="28"/>
          <w:lang w:eastAsia="ru-RU"/>
        </w:rPr>
        <w:t xml:space="preserve">сего </w:t>
      </w:r>
      <w:r>
        <w:rPr>
          <w:rFonts w:eastAsia="Times New Roman"/>
          <w:b/>
          <w:bCs/>
          <w:i/>
          <w:szCs w:val="28"/>
          <w:lang w:eastAsia="ru-RU"/>
        </w:rPr>
        <w:t xml:space="preserve">в депутаты Палаты представителей выдвинуто </w:t>
      </w:r>
      <w:r>
        <w:rPr>
          <w:rFonts w:eastAsia="Times New Roman"/>
          <w:b/>
          <w:bCs/>
          <w:i/>
          <w:szCs w:val="28"/>
          <w:lang w:eastAsia="ru-RU"/>
        </w:rPr>
        <w:br/>
        <w:t>298 кандидатов</w:t>
      </w:r>
      <w:r>
        <w:rPr>
          <w:rFonts w:eastAsia="Times New Roman"/>
          <w:bCs/>
          <w:i/>
          <w:szCs w:val="28"/>
          <w:lang w:eastAsia="ru-RU"/>
        </w:rPr>
        <w:t xml:space="preserve">, из которых </w:t>
      </w:r>
      <w:r>
        <w:rPr>
          <w:rFonts w:eastAsia="Times New Roman"/>
          <w:b/>
          <w:bCs/>
          <w:i/>
          <w:szCs w:val="28"/>
          <w:lang w:eastAsia="ru-RU"/>
        </w:rPr>
        <w:t>зарегистрированы 265</w:t>
      </w:r>
      <w:r>
        <w:rPr>
          <w:rFonts w:eastAsia="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Pr>
          <w:rFonts w:eastAsia="Times New Roman"/>
          <w:b/>
          <w:bCs/>
          <w:i/>
          <w:szCs w:val="28"/>
          <w:lang w:eastAsia="ru-RU"/>
        </w:rPr>
        <w:t>82 кандидата</w:t>
      </w:r>
      <w:r>
        <w:rPr>
          <w:rFonts w:eastAsia="Times New Roman"/>
          <w:bCs/>
          <w:i/>
          <w:szCs w:val="28"/>
          <w:lang w:eastAsia="ru-RU"/>
        </w:rPr>
        <w:t xml:space="preserve"> представляют сферу </w:t>
      </w:r>
      <w:r>
        <w:rPr>
          <w:rFonts w:eastAsia="Times New Roman"/>
          <w:bCs/>
          <w:i/>
          <w:spacing w:val="-10"/>
          <w:szCs w:val="28"/>
          <w:lang w:eastAsia="ru-RU"/>
        </w:rPr>
        <w:t xml:space="preserve">науки, образования, здравоохранения, культуры, спорта, </w:t>
      </w:r>
      <w:r>
        <w:rPr>
          <w:rFonts w:eastAsia="Times New Roman"/>
          <w:b/>
          <w:bCs/>
          <w:i/>
          <w:spacing w:val="-10"/>
          <w:szCs w:val="28"/>
          <w:lang w:eastAsia="ru-RU"/>
        </w:rPr>
        <w:t>50</w:t>
      </w:r>
      <w:r>
        <w:rPr>
          <w:rFonts w:eastAsia="Times New Roman"/>
          <w:bCs/>
          <w:i/>
          <w:spacing w:val="-10"/>
          <w:szCs w:val="28"/>
          <w:lang w:eastAsia="ru-RU"/>
        </w:rPr>
        <w:t xml:space="preserve"> – государственные</w:t>
      </w:r>
      <w:r>
        <w:rPr>
          <w:rFonts w:eastAsia="Times New Roman"/>
          <w:bCs/>
          <w:i/>
          <w:szCs w:val="28"/>
          <w:lang w:eastAsia="ru-RU"/>
        </w:rPr>
        <w:t xml:space="preserve"> органы, </w:t>
      </w:r>
      <w:r>
        <w:rPr>
          <w:rFonts w:eastAsia="Times New Roman"/>
          <w:b/>
          <w:bCs/>
          <w:i/>
          <w:szCs w:val="28"/>
          <w:lang w:eastAsia="ru-RU"/>
        </w:rPr>
        <w:t>49</w:t>
      </w:r>
      <w:r>
        <w:rPr>
          <w:rFonts w:eastAsia="Times New Roman"/>
          <w:bCs/>
          <w:i/>
          <w:szCs w:val="28"/>
          <w:lang w:eastAsia="ru-RU"/>
        </w:rPr>
        <w:t xml:space="preserve"> – промышленность, транспорт, строительство.</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 xml:space="preserve">Всего </w:t>
      </w:r>
      <w:r>
        <w:rPr>
          <w:rFonts w:eastAsia="Times New Roman"/>
          <w:b/>
          <w:bCs/>
          <w:i/>
          <w:szCs w:val="28"/>
          <w:lang w:eastAsia="ru-RU"/>
        </w:rPr>
        <w:t xml:space="preserve">в депутаты местных Советов депутатов выдвинуто </w:t>
      </w:r>
      <w:r>
        <w:rPr>
          <w:rFonts w:eastAsia="Times New Roman"/>
          <w:b/>
          <w:bCs/>
          <w:i/>
          <w:szCs w:val="28"/>
          <w:lang w:eastAsia="ru-RU"/>
        </w:rPr>
        <w:br/>
      </w:r>
      <w:r>
        <w:rPr>
          <w:rFonts w:eastAsia="Times New Roman"/>
          <w:b/>
          <w:bCs/>
          <w:i/>
          <w:spacing w:val="-10"/>
          <w:szCs w:val="28"/>
          <w:lang w:eastAsia="ru-RU"/>
        </w:rPr>
        <w:t>18 996 кандидатов</w:t>
      </w:r>
      <w:r>
        <w:rPr>
          <w:rFonts w:eastAsia="Times New Roman"/>
          <w:bCs/>
          <w:i/>
          <w:spacing w:val="-10"/>
          <w:szCs w:val="28"/>
          <w:lang w:eastAsia="ru-RU"/>
        </w:rPr>
        <w:t>, из которых 18 802 продолжат борьбу за депутатский</w:t>
      </w:r>
      <w:r>
        <w:rPr>
          <w:rFonts w:eastAsia="Times New Roman"/>
          <w:bCs/>
          <w:i/>
          <w:szCs w:val="28"/>
          <w:lang w:eastAsia="ru-RU"/>
        </w:rPr>
        <w:t xml:space="preserve"> мандат. </w:t>
      </w:r>
      <w:r>
        <w:rPr>
          <w:rFonts w:eastAsia="Times New Roman"/>
          <w:bCs/>
          <w:i/>
          <w:spacing w:val="-6"/>
          <w:szCs w:val="28"/>
          <w:lang w:eastAsia="ru-RU"/>
        </w:rPr>
        <w:t>Среди них 803 гражданина в возрасте до 31 года, 10 107 женщин</w:t>
      </w:r>
      <w:r>
        <w:rPr>
          <w:rFonts w:eastAsia="Times New Roman"/>
          <w:bCs/>
          <w:i/>
          <w:szCs w:val="28"/>
          <w:lang w:eastAsia="ru-RU"/>
        </w:rPr>
        <w:t>, 7 330 действующих депутатов местных Советов депутатов.</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 xml:space="preserve">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w:t>
      </w:r>
      <w:r>
        <w:rPr>
          <w:rFonts w:eastAsia="Times New Roman"/>
          <w:bCs/>
          <w:i/>
          <w:szCs w:val="28"/>
          <w:lang w:eastAsia="ru-RU"/>
        </w:rPr>
        <w:lastRenderedPageBreak/>
        <w:t>коллективом. Более 6% зарегистрированных кандидатов – молодые люди до 31 года и почти 60% – женщины.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Pr>
          <w:rFonts w:eastAsia="Times New Roman"/>
          <w:sz w:val="30"/>
          <w:szCs w:val="30"/>
          <w:lang w:eastAsia="ru-RU"/>
        </w:rPr>
        <w:t>31 января по 24 февраля (</w:t>
      </w:r>
      <w:r>
        <w:rPr>
          <w:rFonts w:eastAsia="Times New Roman"/>
          <w:b/>
          <w:sz w:val="30"/>
          <w:szCs w:val="30"/>
          <w:lang w:eastAsia="ru-RU"/>
        </w:rPr>
        <w:t>период предвыборной агитации)</w:t>
      </w:r>
      <w:r>
        <w:rPr>
          <w:rFonts w:eastAsia="Times New Roman"/>
          <w:sz w:val="30"/>
          <w:szCs w:val="30"/>
          <w:lang w:eastAsia="ru-RU"/>
        </w:rPr>
        <w:t xml:space="preserve">.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избирательным кодексом предусмотрены широкие </w:t>
      </w:r>
      <w:r>
        <w:rPr>
          <w:rFonts w:eastAsia="Times New Roman"/>
          <w:b/>
          <w:bCs/>
          <w:i/>
          <w:szCs w:val="28"/>
          <w:lang w:eastAsia="ru-RU"/>
        </w:rPr>
        <w:t xml:space="preserve">возможности для информирования граждан </w:t>
      </w:r>
      <w:r>
        <w:rPr>
          <w:rFonts w:eastAsia="Times New Roman"/>
          <w:bCs/>
          <w:i/>
          <w:szCs w:val="28"/>
          <w:lang w:eastAsia="ru-RU"/>
        </w:rPr>
        <w:t xml:space="preserve">кандидатами в депутаты о своей предвыборной программе: </w:t>
      </w:r>
      <w:r>
        <w:rPr>
          <w:rFonts w:eastAsia="Times New Roman"/>
          <w:i/>
          <w:szCs w:val="28"/>
          <w:lang w:eastAsia="ru-RU"/>
        </w:rPr>
        <w:t xml:space="preserve">встречи со своими избирателями на собраниях или в другой удобной для избирателей форме; </w:t>
      </w:r>
      <w:r>
        <w:rPr>
          <w:rFonts w:eastAsia="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Pr>
          <w:rFonts w:eastAsia="Times New Roman"/>
          <w:bCs/>
          <w:i/>
          <w:szCs w:val="28"/>
          <w:lang w:eastAsia="ru-RU"/>
        </w:rPr>
        <w:t xml:space="preserve"> </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Pr>
          <w:rFonts w:eastAsia="Times New Roman"/>
          <w:sz w:val="30"/>
          <w:szCs w:val="30"/>
          <w:lang w:eastAsia="ru-RU"/>
        </w:rPr>
        <w:t xml:space="preserve"> </w:t>
      </w:r>
      <w:r>
        <w:rPr>
          <w:rFonts w:eastAsia="Times New Roman"/>
          <w:i/>
          <w:szCs w:val="28"/>
          <w:lang w:eastAsia="ru-RU"/>
        </w:rPr>
        <w:t>по телевидению и радио.</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i/>
          <w:szCs w:val="28"/>
          <w:lang w:eastAsia="ru-RU"/>
        </w:rPr>
      </w:pPr>
      <w:r>
        <w:rPr>
          <w:rFonts w:eastAsia="Times New Roman"/>
          <w:i/>
          <w:szCs w:val="28"/>
          <w:lang w:eastAsia="ru-RU"/>
        </w:rPr>
        <w:t>Предвыборные программы</w:t>
      </w:r>
      <w:r>
        <w:rPr>
          <w:rFonts w:eastAsia="Times New Roman"/>
          <w:b/>
          <w:i/>
          <w:szCs w:val="28"/>
          <w:lang w:eastAsia="ru-RU"/>
        </w:rPr>
        <w:t xml:space="preserve"> кандидатов в депутаты местного Совета депутатов</w:t>
      </w:r>
      <w:r>
        <w:rPr>
          <w:rFonts w:eastAsia="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sz w:val="30"/>
          <w:szCs w:val="30"/>
          <w:lang w:eastAsia="ru-RU"/>
        </w:rPr>
        <w:t>Наряду с этим н</w:t>
      </w:r>
      <w:r>
        <w:rPr>
          <w:rFonts w:eastAsia="Times New Roman"/>
          <w:bCs/>
          <w:sz w:val="30"/>
          <w:szCs w:val="30"/>
          <w:lang w:eastAsia="ru-RU"/>
        </w:rPr>
        <w:t>а всех участках для голосования не позднее чем за</w:t>
      </w:r>
      <w:r>
        <w:rPr>
          <w:rFonts w:eastAsia="Times New Roman"/>
          <w:bCs/>
          <w:sz w:val="30"/>
          <w:szCs w:val="30"/>
          <w:lang w:eastAsia="ru-RU"/>
        </w:rPr>
        <w:br/>
        <w:t>14 дней до выборов будут оформлены стенды с информационными материалами о кандидатах.</w:t>
      </w:r>
    </w:p>
    <w:p w:rsidR="00C0506C" w:rsidRDefault="00C0506C" w:rsidP="00C0506C">
      <w:pPr>
        <w:widowControl w:val="0"/>
        <w:overflowPunct w:val="0"/>
        <w:autoSpaceDE w:val="0"/>
        <w:autoSpaceDN w:val="0"/>
        <w:adjustRightInd w:val="0"/>
        <w:spacing w:after="0" w:line="232" w:lineRule="auto"/>
        <w:jc w:val="center"/>
        <w:rPr>
          <w:rFonts w:eastAsia="Times New Roman"/>
          <w:bCs/>
          <w:sz w:val="30"/>
          <w:szCs w:val="30"/>
          <w:lang w:eastAsia="ru-RU"/>
        </w:rPr>
      </w:pPr>
      <w:r>
        <w:rPr>
          <w:rFonts w:eastAsia="Times New Roman"/>
          <w:b/>
          <w:bCs/>
          <w:sz w:val="30"/>
          <w:szCs w:val="30"/>
          <w:lang w:eastAsia="ru-RU"/>
        </w:rPr>
        <w:t>ПРАВИЛА ИГРЫ НА ПАРТИЙНОМ ПОЛЕ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pacing w:val="-10"/>
          <w:szCs w:val="28"/>
          <w:lang w:eastAsia="ru-RU"/>
        </w:rPr>
        <w:t>Белорусская партия «Белая Русь» выдвинула на предстоящие выборы</w:t>
      </w:r>
      <w:r>
        <w:rPr>
          <w:rFonts w:eastAsia="Times New Roman"/>
          <w:bCs/>
          <w:i/>
          <w:spacing w:val="-10"/>
          <w:szCs w:val="28"/>
          <w:lang w:eastAsia="ru-RU"/>
        </w:rPr>
        <w:br/>
      </w:r>
      <w:r>
        <w:rPr>
          <w:rFonts w:eastAsia="Times New Roman"/>
          <w:bCs/>
          <w:i/>
          <w:szCs w:val="28"/>
          <w:lang w:eastAsia="ru-RU"/>
        </w:rPr>
        <w:t xml:space="preserve">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w:t>
      </w:r>
      <w:r>
        <w:rPr>
          <w:rFonts w:eastAsia="Times New Roman"/>
          <w:bCs/>
          <w:i/>
          <w:szCs w:val="28"/>
          <w:lang w:eastAsia="ru-RU"/>
        </w:rPr>
        <w:lastRenderedPageBreak/>
        <w:t>Советы депутатов и 50 – в Парламент (по Могилевской области – 94 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в соответствии с Конституцией Республики Беларусь </w:t>
      </w:r>
      <w:r>
        <w:rPr>
          <w:rFonts w:eastAsia="Times New Roman"/>
          <w:b/>
          <w:bCs/>
          <w:i/>
          <w:szCs w:val="28"/>
          <w:lang w:eastAsia="ru-RU"/>
        </w:rPr>
        <w:t xml:space="preserve">правом выдвижения кандидатов в депутаты </w:t>
      </w:r>
      <w:r>
        <w:rPr>
          <w:rFonts w:eastAsia="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pacing w:val="-2"/>
          <w:sz w:val="30"/>
          <w:szCs w:val="30"/>
          <w:lang w:eastAsia="ru-RU"/>
        </w:rPr>
        <w:t>ВЫБОРЫ – ЭТО НЕ ШОУ</w:t>
      </w:r>
    </w:p>
    <w:p w:rsidR="00C0506C" w:rsidRDefault="00C0506C" w:rsidP="00C0506C">
      <w:pPr>
        <w:widowControl w:val="0"/>
        <w:overflowPunct w:val="0"/>
        <w:autoSpaceDE w:val="0"/>
        <w:autoSpaceDN w:val="0"/>
        <w:adjustRightInd w:val="0"/>
        <w:spacing w:after="0" w:line="240" w:lineRule="auto"/>
        <w:ind w:firstLine="709"/>
        <w:jc w:val="both"/>
        <w:rPr>
          <w:rFonts w:eastAsia="Calibri"/>
          <w:bCs/>
          <w:sz w:val="30"/>
          <w:szCs w:val="30"/>
        </w:rPr>
      </w:pPr>
      <w:r>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 xml:space="preserve">Цена ошибки слишком велика, чтобы превращать электоральную </w:t>
      </w:r>
      <w:r>
        <w:rPr>
          <w:bCs/>
          <w:sz w:val="30"/>
          <w:szCs w:val="30"/>
        </w:rPr>
        <w:lastRenderedPageBreak/>
        <w:t>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Pr>
          <w:rFonts w:eastAsia="Times New Roman"/>
          <w:sz w:val="30"/>
          <w:szCs w:val="30"/>
          <w:lang w:eastAsia="ru-RU"/>
        </w:rPr>
        <w:br/>
        <w:t xml:space="preserve">в ходе избирательной кампании считает </w:t>
      </w:r>
      <w:r>
        <w:rPr>
          <w:rFonts w:eastAsia="Times New Roman"/>
          <w:bCs/>
          <w:sz w:val="30"/>
          <w:szCs w:val="30"/>
          <w:lang w:eastAsia="ru-RU"/>
        </w:rPr>
        <w:t>традиционные: встречи</w:t>
      </w:r>
      <w:r>
        <w:rPr>
          <w:rFonts w:eastAsia="Times New Roman"/>
          <w:sz w:val="30"/>
          <w:szCs w:val="30"/>
          <w:lang w:eastAsia="ru-RU"/>
        </w:rPr>
        <w:t xml:space="preserve"> кандидатов с гражданами по месту жительства </w:t>
      </w:r>
      <w:r>
        <w:rPr>
          <w:rFonts w:eastAsia="Times New Roman"/>
          <w:iCs/>
          <w:sz w:val="30"/>
          <w:szCs w:val="30"/>
          <w:lang w:eastAsia="ru-RU"/>
        </w:rPr>
        <w:t>(34,8%)</w:t>
      </w:r>
      <w:r>
        <w:rPr>
          <w:rFonts w:eastAsia="Times New Roman"/>
          <w:sz w:val="30"/>
          <w:szCs w:val="30"/>
          <w:lang w:eastAsia="ru-RU"/>
        </w:rPr>
        <w:t xml:space="preserve"> и работы или учебы </w:t>
      </w:r>
      <w:r>
        <w:rPr>
          <w:rFonts w:eastAsia="Times New Roman"/>
          <w:iCs/>
          <w:sz w:val="30"/>
          <w:szCs w:val="30"/>
          <w:lang w:eastAsia="ru-RU"/>
        </w:rPr>
        <w:t>(23,3%)</w:t>
      </w:r>
      <w:r>
        <w:rPr>
          <w:rFonts w:eastAsia="Times New Roman"/>
          <w:sz w:val="30"/>
          <w:szCs w:val="30"/>
          <w:lang w:eastAsia="ru-RU"/>
        </w:rPr>
        <w:t xml:space="preserve">, их </w:t>
      </w:r>
      <w:r>
        <w:rPr>
          <w:rFonts w:eastAsia="Times New Roman"/>
          <w:bCs/>
          <w:sz w:val="30"/>
          <w:szCs w:val="30"/>
          <w:lang w:eastAsia="ru-RU"/>
        </w:rPr>
        <w:t xml:space="preserve">выступления </w:t>
      </w:r>
      <w:r>
        <w:rPr>
          <w:rFonts w:eastAsia="Times New Roman"/>
          <w:sz w:val="30"/>
          <w:szCs w:val="30"/>
          <w:lang w:eastAsia="ru-RU"/>
        </w:rPr>
        <w:t xml:space="preserve">на ТВ, по радио и в прессе </w:t>
      </w:r>
      <w:r>
        <w:rPr>
          <w:rFonts w:eastAsia="Times New Roman"/>
          <w:iCs/>
          <w:sz w:val="30"/>
          <w:szCs w:val="30"/>
          <w:lang w:eastAsia="ru-RU"/>
        </w:rPr>
        <w:t>(27,6%)</w:t>
      </w:r>
      <w:r>
        <w:rPr>
          <w:rFonts w:eastAsia="Times New Roman"/>
          <w:sz w:val="30"/>
          <w:szCs w:val="30"/>
          <w:lang w:eastAsia="ru-RU"/>
        </w:rPr>
        <w:t xml:space="preserve">, а также </w:t>
      </w:r>
      <w:r>
        <w:rPr>
          <w:rFonts w:eastAsia="Times New Roman"/>
          <w:bCs/>
          <w:sz w:val="30"/>
          <w:szCs w:val="30"/>
          <w:lang w:eastAsia="ru-RU"/>
        </w:rPr>
        <w:t xml:space="preserve">теледебаты </w:t>
      </w:r>
      <w:r>
        <w:rPr>
          <w:rFonts w:eastAsia="Times New Roman"/>
          <w:iCs/>
          <w:sz w:val="30"/>
          <w:szCs w:val="30"/>
          <w:lang w:eastAsia="ru-RU"/>
        </w:rPr>
        <w:t>(20,5%)</w:t>
      </w:r>
      <w:r>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Pr>
          <w:rFonts w:eastAsia="Times New Roman"/>
          <w:bCs/>
          <w:sz w:val="30"/>
          <w:szCs w:val="30"/>
          <w:lang w:eastAsia="ru-RU"/>
        </w:rPr>
        <w:t>Далее располагаются –</w:t>
      </w:r>
      <w:r>
        <w:rPr>
          <w:rFonts w:eastAsia="Times New Roman"/>
          <w:sz w:val="30"/>
          <w:szCs w:val="30"/>
          <w:lang w:eastAsia="ru-RU"/>
        </w:rPr>
        <w:t xml:space="preserve"> работа </w:t>
      </w:r>
      <w:r>
        <w:rPr>
          <w:rFonts w:eastAsia="Times New Roman"/>
          <w:bCs/>
          <w:sz w:val="30"/>
          <w:szCs w:val="30"/>
          <w:lang w:eastAsia="ru-RU"/>
        </w:rPr>
        <w:t>в сети Интернет</w:t>
      </w:r>
      <w:r>
        <w:rPr>
          <w:rFonts w:eastAsia="Times New Roman"/>
          <w:sz w:val="30"/>
          <w:szCs w:val="30"/>
          <w:lang w:eastAsia="ru-RU"/>
        </w:rPr>
        <w:t xml:space="preserve">, использование </w:t>
      </w:r>
      <w:r>
        <w:rPr>
          <w:rFonts w:eastAsia="Times New Roman"/>
          <w:bCs/>
          <w:sz w:val="30"/>
          <w:szCs w:val="30"/>
          <w:lang w:eastAsia="ru-RU"/>
        </w:rPr>
        <w:t>средств наглядной агитации</w:t>
      </w:r>
      <w:r>
        <w:rPr>
          <w:rFonts w:eastAsia="Times New Roman"/>
          <w:sz w:val="30"/>
          <w:szCs w:val="30"/>
          <w:lang w:eastAsia="ru-RU"/>
        </w:rPr>
        <w:t xml:space="preserve">, </w:t>
      </w:r>
      <w:r>
        <w:rPr>
          <w:rFonts w:eastAsia="Times New Roman"/>
          <w:bCs/>
          <w:sz w:val="30"/>
          <w:szCs w:val="30"/>
          <w:lang w:eastAsia="ru-RU"/>
        </w:rPr>
        <w:t>индивидуальная работа</w:t>
      </w:r>
      <w:r>
        <w:rPr>
          <w:rFonts w:eastAsia="Times New Roman"/>
          <w:sz w:val="30"/>
          <w:szCs w:val="30"/>
          <w:lang w:eastAsia="ru-RU"/>
        </w:rPr>
        <w:t xml:space="preserve"> кандидата и его доверенных лиц с избирателями.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62,8%</w:t>
      </w:r>
      <w:r>
        <w:rPr>
          <w:rFonts w:eastAsia="Times New Roman"/>
          <w:sz w:val="30"/>
          <w:szCs w:val="30"/>
          <w:lang w:eastAsia="ru-RU"/>
        </w:rPr>
        <w:t xml:space="preserve"> респондентов считают, что, в первую очередь, </w:t>
      </w:r>
      <w:r>
        <w:rPr>
          <w:rFonts w:eastAsia="Times New Roman"/>
          <w:bCs/>
          <w:sz w:val="30"/>
          <w:szCs w:val="30"/>
          <w:lang w:eastAsia="ru-RU"/>
        </w:rPr>
        <w:t>в предвыборной программе</w:t>
      </w:r>
      <w:r>
        <w:rPr>
          <w:rFonts w:eastAsia="Times New Roman"/>
          <w:sz w:val="30"/>
          <w:szCs w:val="30"/>
          <w:lang w:eastAsia="ru-RU"/>
        </w:rPr>
        <w:t xml:space="preserve"> кандидата в депутаты </w:t>
      </w:r>
      <w:r>
        <w:rPr>
          <w:rFonts w:eastAsia="Times New Roman"/>
          <w:bCs/>
          <w:sz w:val="30"/>
          <w:szCs w:val="30"/>
          <w:lang w:eastAsia="ru-RU"/>
        </w:rPr>
        <w:t>должны быть</w:t>
      </w:r>
      <w:r>
        <w:rPr>
          <w:rFonts w:eastAsia="Times New Roman"/>
          <w:sz w:val="30"/>
          <w:szCs w:val="30"/>
          <w:lang w:eastAsia="ru-RU"/>
        </w:rPr>
        <w:t xml:space="preserve"> отражены </w:t>
      </w:r>
      <w:r>
        <w:rPr>
          <w:rFonts w:eastAsia="Times New Roman"/>
          <w:bCs/>
          <w:sz w:val="30"/>
          <w:szCs w:val="30"/>
          <w:lang w:eastAsia="ru-RU"/>
        </w:rPr>
        <w:t>конкретные предложения</w:t>
      </w:r>
      <w:r>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Pr>
          <w:rFonts w:eastAsia="Times New Roman"/>
          <w:bCs/>
          <w:sz w:val="30"/>
          <w:szCs w:val="30"/>
          <w:lang w:eastAsia="ru-RU"/>
        </w:rPr>
        <w:t>об ожиданиях</w:t>
      </w:r>
      <w:r>
        <w:rPr>
          <w:rFonts w:eastAsia="Times New Roman"/>
          <w:sz w:val="30"/>
          <w:szCs w:val="30"/>
          <w:lang w:eastAsia="ru-RU"/>
        </w:rPr>
        <w:t xml:space="preserve"> избирателей от потенциальных кандидатов в депутаты </w:t>
      </w:r>
      <w:r>
        <w:rPr>
          <w:rFonts w:eastAsia="Times New Roman"/>
          <w:bCs/>
          <w:sz w:val="30"/>
          <w:szCs w:val="30"/>
          <w:lang w:eastAsia="ru-RU"/>
        </w:rPr>
        <w:t>обстоятельной работы в случае их избрания</w:t>
      </w:r>
      <w:r>
        <w:rPr>
          <w:rFonts w:eastAsia="Times New Roman"/>
          <w:sz w:val="30"/>
          <w:szCs w:val="30"/>
          <w:lang w:eastAsia="ru-RU"/>
        </w:rPr>
        <w:t>.</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Pr>
          <w:rFonts w:eastAsia="Times New Roman"/>
          <w:bCs/>
          <w:sz w:val="30"/>
          <w:szCs w:val="30"/>
          <w:lang w:eastAsia="ru-RU"/>
        </w:rPr>
        <w:t xml:space="preserve">, его возрасте </w:t>
      </w:r>
      <w:r>
        <w:rPr>
          <w:rFonts w:eastAsia="Times New Roman"/>
          <w:bCs/>
          <w:iCs/>
          <w:sz w:val="30"/>
          <w:szCs w:val="30"/>
          <w:lang w:eastAsia="ru-RU"/>
        </w:rPr>
        <w:t>(29,1%)</w:t>
      </w:r>
      <w:r>
        <w:rPr>
          <w:rFonts w:eastAsia="Times New Roman"/>
          <w:bCs/>
          <w:i/>
          <w:iCs/>
          <w:sz w:val="30"/>
          <w:szCs w:val="30"/>
          <w:lang w:eastAsia="ru-RU"/>
        </w:rPr>
        <w:t xml:space="preserve"> </w:t>
      </w:r>
      <w:r>
        <w:rPr>
          <w:rFonts w:eastAsia="Times New Roman"/>
          <w:bCs/>
          <w:sz w:val="30"/>
          <w:szCs w:val="30"/>
          <w:lang w:eastAsia="ru-RU"/>
        </w:rPr>
        <w:t xml:space="preserve">и политических взглядах </w:t>
      </w:r>
      <w:r>
        <w:rPr>
          <w:rFonts w:eastAsia="Times New Roman"/>
          <w:bCs/>
          <w:iCs/>
          <w:sz w:val="30"/>
          <w:szCs w:val="30"/>
          <w:lang w:eastAsia="ru-RU"/>
        </w:rPr>
        <w:t>(29,8%)</w:t>
      </w:r>
      <w:r>
        <w:rPr>
          <w:rFonts w:eastAsia="Times New Roman"/>
          <w:bCs/>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Избиратели голосуют как за самого кандидата, так и за программу, с которой он выступает.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 мнению респондентов, после своего избрания депутат должен сосредоточиться на:</w:t>
      </w:r>
      <w:r>
        <w:rPr>
          <w:rFonts w:eastAsia="Times New Roman"/>
          <w:b/>
          <w:bCs/>
          <w:sz w:val="30"/>
          <w:szCs w:val="30"/>
          <w:lang w:eastAsia="ru-RU"/>
        </w:rPr>
        <w:t xml:space="preserve"> </w:t>
      </w:r>
      <w:r>
        <w:rPr>
          <w:rFonts w:eastAsia="Times New Roman"/>
          <w:bCs/>
          <w:sz w:val="30"/>
          <w:szCs w:val="30"/>
          <w:lang w:eastAsia="ru-RU"/>
        </w:rPr>
        <w:t xml:space="preserve">реализации общественных инициатив и </w:t>
      </w:r>
      <w:r>
        <w:rPr>
          <w:rFonts w:eastAsia="Times New Roman"/>
          <w:bCs/>
          <w:sz w:val="30"/>
          <w:szCs w:val="30"/>
          <w:lang w:eastAsia="ru-RU"/>
        </w:rPr>
        <w:lastRenderedPageBreak/>
        <w:t xml:space="preserve">предложений </w:t>
      </w:r>
      <w:r>
        <w:rPr>
          <w:rFonts w:eastAsia="Times New Roman"/>
          <w:bCs/>
          <w:iCs/>
          <w:sz w:val="30"/>
          <w:szCs w:val="30"/>
          <w:lang w:eastAsia="ru-RU"/>
        </w:rPr>
        <w:t>(40,9%)</w:t>
      </w:r>
      <w:r>
        <w:rPr>
          <w:rFonts w:eastAsia="Times New Roman"/>
          <w:bCs/>
          <w:sz w:val="30"/>
          <w:szCs w:val="30"/>
          <w:lang w:eastAsia="ru-RU"/>
        </w:rPr>
        <w:t xml:space="preserve">, личных приемах граждан </w:t>
      </w:r>
      <w:r>
        <w:rPr>
          <w:rFonts w:eastAsia="Times New Roman"/>
          <w:bCs/>
          <w:iCs/>
          <w:sz w:val="30"/>
          <w:szCs w:val="30"/>
          <w:lang w:eastAsia="ru-RU"/>
        </w:rPr>
        <w:t>(33,7%)</w:t>
      </w:r>
      <w:r>
        <w:rPr>
          <w:rFonts w:eastAsia="Times New Roman"/>
          <w:bCs/>
          <w:sz w:val="30"/>
          <w:szCs w:val="30"/>
          <w:lang w:eastAsia="ru-RU"/>
        </w:rPr>
        <w:t xml:space="preserve">, осуществлении контроля принятых властью решений </w:t>
      </w:r>
      <w:r>
        <w:rPr>
          <w:rFonts w:eastAsia="Times New Roman"/>
          <w:bCs/>
          <w:iCs/>
          <w:sz w:val="30"/>
          <w:szCs w:val="30"/>
          <w:lang w:eastAsia="ru-RU"/>
        </w:rPr>
        <w:t>(29,3%)</w:t>
      </w:r>
      <w:r>
        <w:rPr>
          <w:rFonts w:eastAsia="Times New Roman"/>
          <w:bCs/>
          <w:sz w:val="30"/>
          <w:szCs w:val="30"/>
          <w:lang w:eastAsia="ru-RU"/>
        </w:rPr>
        <w:t xml:space="preserve">, проведении встреч с избирателями </w:t>
      </w:r>
      <w:r>
        <w:rPr>
          <w:rFonts w:eastAsia="Times New Roman"/>
          <w:bCs/>
          <w:iCs/>
          <w:sz w:val="30"/>
          <w:szCs w:val="30"/>
          <w:lang w:eastAsia="ru-RU"/>
        </w:rPr>
        <w:t>(26,8%)</w:t>
      </w:r>
      <w:r>
        <w:rPr>
          <w:rFonts w:eastAsia="Times New Roman"/>
          <w:bCs/>
          <w:sz w:val="30"/>
          <w:szCs w:val="30"/>
          <w:lang w:eastAsia="ru-RU"/>
        </w:rPr>
        <w:t xml:space="preserve">, совершенствовании правовых норм и законодательства </w:t>
      </w:r>
      <w:r>
        <w:rPr>
          <w:rFonts w:eastAsia="Times New Roman"/>
          <w:bCs/>
          <w:iCs/>
          <w:sz w:val="30"/>
          <w:szCs w:val="30"/>
          <w:lang w:eastAsia="ru-RU"/>
        </w:rPr>
        <w:t>(19,9%)</w:t>
      </w:r>
      <w:r>
        <w:rPr>
          <w:rFonts w:eastAsia="Times New Roman"/>
          <w:bCs/>
          <w:sz w:val="30"/>
          <w:szCs w:val="30"/>
          <w:lang w:eastAsia="ru-RU"/>
        </w:rPr>
        <w:t>. Представительские функции и личные интересы получили крайнее неодобрение.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ВЫБОРЫ ПРОВОДИМ ДЛЯ СЕБЯ</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Pr>
          <w:rFonts w:eastAsia="Times New Roman"/>
          <w:bCs/>
          <w:i/>
          <w:iCs/>
          <w:szCs w:val="28"/>
          <w:lang w:eastAsia="ru-RU"/>
        </w:rPr>
        <w:t>–</w:t>
      </w:r>
      <w:r>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w:t>
      </w:r>
      <w:r>
        <w:rPr>
          <w:rFonts w:eastAsia="Times New Roman"/>
          <w:bCs/>
          <w:sz w:val="30"/>
          <w:szCs w:val="30"/>
          <w:lang w:eastAsia="ru-RU"/>
        </w:rPr>
        <w:lastRenderedPageBreak/>
        <w:t xml:space="preserve">Избирательным кодексом Республики Беларусь наблюдателями могут </w:t>
      </w:r>
      <w:r>
        <w:rPr>
          <w:rFonts w:eastAsia="Times New Roman"/>
          <w:bCs/>
          <w:spacing w:val="-10"/>
          <w:sz w:val="30"/>
          <w:szCs w:val="30"/>
          <w:lang w:eastAsia="ru-RU"/>
        </w:rPr>
        <w:t>быть представители политических партий, других общественных объединений</w:t>
      </w:r>
      <w:r>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pacing w:val="-6"/>
          <w:szCs w:val="28"/>
          <w:lang w:eastAsia="ru-RU"/>
        </w:rPr>
        <w:t>по состоянию на 5 февраля 2024 г., аккредитовано 27 790 внутренних</w:t>
      </w:r>
      <w:r>
        <w:rPr>
          <w:rFonts w:eastAsia="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Cs/>
          <w:i/>
          <w:szCs w:val="28"/>
          <w:lang w:eastAsia="ru-RU"/>
        </w:rPr>
        <w:tab/>
        <w:t>В Могилевской области по состоянию на 9 февраля аккредитованы 5466 наблюдателей в комиссии всех уровней.</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ВАЖЕН ГОЛОС КАЖДОГО</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Выборы в Парламент и местные Советы депутатов – это возможность участвовать в управлении страной, влиять на </w:t>
      </w:r>
      <w:r>
        <w:rPr>
          <w:rFonts w:eastAsia="Times New Roman"/>
          <w:bCs/>
          <w:sz w:val="30"/>
          <w:szCs w:val="30"/>
          <w:lang w:eastAsia="ru-RU"/>
        </w:rPr>
        <w:lastRenderedPageBreak/>
        <w:t>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Pr>
          <w:rFonts w:eastAsia="Times New Roman"/>
          <w:bCs/>
          <w:sz w:val="30"/>
          <w:szCs w:val="30"/>
          <w:lang w:eastAsia="ru-RU"/>
        </w:rPr>
        <w:t xml:space="preserve">Граждане приняли как руководство к действию слова </w:t>
      </w:r>
      <w:r>
        <w:rPr>
          <w:rFonts w:eastAsia="Times New Roman"/>
          <w:b/>
          <w:bCs/>
          <w:spacing w:val="-10"/>
          <w:sz w:val="30"/>
          <w:szCs w:val="30"/>
          <w:lang w:eastAsia="ru-RU"/>
        </w:rPr>
        <w:t>Главы государства А.Г.Лукашенко</w:t>
      </w:r>
      <w:r>
        <w:rPr>
          <w:rFonts w:eastAsia="Times New Roman"/>
          <w:bCs/>
          <w:spacing w:val="-10"/>
          <w:sz w:val="30"/>
          <w:szCs w:val="30"/>
          <w:lang w:eastAsia="ru-RU"/>
        </w:rPr>
        <w:t>:</w:t>
      </w:r>
      <w:r>
        <w:rPr>
          <w:rFonts w:eastAsia="Times New Roman"/>
          <w:b/>
          <w:bCs/>
          <w:i/>
          <w:spacing w:val="-10"/>
          <w:sz w:val="30"/>
          <w:szCs w:val="30"/>
          <w:lang w:eastAsia="ru-RU"/>
        </w:rPr>
        <w:t xml:space="preserve"> «Мы сегодня в такой сложной ситуации</w:t>
      </w:r>
      <w:r>
        <w:rPr>
          <w:rFonts w:eastAsia="Times New Roman"/>
          <w:bCs/>
          <w:spacing w:val="-10"/>
          <w:sz w:val="30"/>
          <w:szCs w:val="30"/>
          <w:lang w:eastAsia="ru-RU"/>
        </w:rPr>
        <w:t xml:space="preserve">, </w:t>
      </w:r>
      <w:r>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C0506C" w:rsidRDefault="00C0506C"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016FE0" w:rsidRDefault="00016FE0"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lastRenderedPageBreak/>
        <w:t>Основные изменения, внесенные в Налоговый кодекс Республики Беларусь с 1 января 2024 года</w:t>
      </w:r>
    </w:p>
    <w:p w:rsidR="00394A91" w:rsidRPr="0070777B" w:rsidRDefault="00394A9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w:t>
      </w:r>
      <w:r w:rsidR="0012445B" w:rsidRPr="0070777B">
        <w:rPr>
          <w:rFonts w:cs="Times New Roman"/>
          <w:bCs/>
          <w:i/>
          <w:iCs/>
          <w:sz w:val="20"/>
          <w:szCs w:val="20"/>
        </w:rPr>
        <w:t xml:space="preserve"> </w:t>
      </w:r>
      <w:r w:rsidRPr="0070777B">
        <w:rPr>
          <w:rFonts w:cs="Times New Roman"/>
          <w:bCs/>
          <w:i/>
          <w:iCs/>
          <w:sz w:val="20"/>
          <w:szCs w:val="20"/>
        </w:rPr>
        <w:t>Республики Беларусь</w:t>
      </w: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394A91" w:rsidRPr="0070777B" w:rsidRDefault="00394A91" w:rsidP="00394A91">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394A91" w:rsidRPr="0070777B" w:rsidRDefault="00394A91" w:rsidP="00394A91">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0777B" w:rsidRDefault="00394A91" w:rsidP="00394A91">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0777B" w:rsidRDefault="00394A91" w:rsidP="00394A91">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0777B" w:rsidRDefault="00394A91" w:rsidP="00394A91">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0777B" w:rsidRDefault="00394A91" w:rsidP="00394A91">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w:t>
      </w:r>
      <w:r w:rsidRPr="0070777B">
        <w:rPr>
          <w:rStyle w:val="word-wrapper"/>
          <w:rFonts w:cs="Times New Roman"/>
          <w:szCs w:val="28"/>
          <w:bdr w:val="none" w:sz="0" w:space="0" w:color="auto" w:frame="1"/>
        </w:rPr>
        <w:lastRenderedPageBreak/>
        <w:t xml:space="preserve">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 xml:space="preserve">Кроме того, налоговые органы активно развивают сервисную составляющую электронного обмена информацией, в том числе расширяется сфера применения </w:t>
      </w:r>
      <w:proofErr w:type="spellStart"/>
      <w:r w:rsidRPr="0070777B">
        <w:rPr>
          <w:rFonts w:cs="Times New Roman"/>
          <w:i/>
          <w:szCs w:val="28"/>
        </w:rPr>
        <w:t>префайлинга</w:t>
      </w:r>
      <w:proofErr w:type="spellEnd"/>
      <w:r w:rsidRPr="0070777B">
        <w:rPr>
          <w:rFonts w:cs="Times New Roman"/>
          <w:i/>
          <w:szCs w:val="28"/>
        </w:rPr>
        <w:t xml:space="preserve"> налоговых деклараций (предварительное заполнение налоговых деклараций плательщика, исходя из данных, имеющихся в налоговых органах).</w:t>
      </w:r>
    </w:p>
    <w:p w:rsidR="00394A91" w:rsidRPr="0070777B" w:rsidRDefault="00394A91" w:rsidP="00394A91">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394A91" w:rsidRPr="0070777B" w:rsidRDefault="00394A91" w:rsidP="0060158D">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0777B" w:rsidRDefault="00394A91" w:rsidP="0060158D">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0777B" w:rsidRDefault="00394A91" w:rsidP="0060158D">
      <w:pPr>
        <w:pStyle w:val="a8"/>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0777B">
        <w:rPr>
          <w:rFonts w:cs="Times New Roman"/>
          <w:szCs w:val="28"/>
        </w:rPr>
        <w:t>тысяч</w:t>
      </w:r>
      <w:r w:rsidRPr="0070777B">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w:t>
      </w:r>
      <w:r w:rsidRPr="0070777B">
        <w:rPr>
          <w:rFonts w:cs="Times New Roman"/>
          <w:szCs w:val="28"/>
        </w:rPr>
        <w:lastRenderedPageBreak/>
        <w:t>календарного года, следующего за календарным годом, в котором образовалось такое превышение.</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Предпринимательская деятельность, осуществляемая гражданином с нарушением </w:t>
      </w:r>
      <w:r w:rsidR="0060158D" w:rsidRPr="0070777B">
        <w:rPr>
          <w:rFonts w:cs="Times New Roman"/>
          <w:szCs w:val="28"/>
        </w:rPr>
        <w:t>вышеуказанных требований,</w:t>
      </w:r>
      <w:r w:rsidRPr="0070777B">
        <w:rPr>
          <w:rFonts w:cs="Times New Roman"/>
          <w:szCs w:val="28"/>
        </w:rPr>
        <w:t xml:space="preserve"> является незаконной.</w:t>
      </w:r>
    </w:p>
    <w:p w:rsidR="00394A91" w:rsidRPr="0070777B" w:rsidRDefault="00394A91" w:rsidP="00394A91">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0777B" w:rsidRDefault="00394A91" w:rsidP="0060158D">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0777B" w:rsidRDefault="00394A91" w:rsidP="0060158D">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394A91" w:rsidRPr="0070777B" w:rsidRDefault="00394A91" w:rsidP="00394A91">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394A91" w:rsidRPr="0070777B" w:rsidRDefault="00394A91" w:rsidP="0060158D">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0777B" w:rsidRDefault="00394A91" w:rsidP="0060158D">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394A91" w:rsidRPr="0070777B" w:rsidRDefault="00394A91" w:rsidP="0060158D">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w:t>
      </w:r>
      <w:r w:rsidRPr="0070777B">
        <w:rPr>
          <w:rFonts w:ascii="Times New Roman" w:hAnsi="Times New Roman" w:cs="Times New Roman"/>
          <w:sz w:val="28"/>
          <w:szCs w:val="28"/>
        </w:rPr>
        <w:lastRenderedPageBreak/>
        <w:t xml:space="preserve">налог, исключены </w:t>
      </w:r>
      <w:proofErr w:type="spellStart"/>
      <w:r w:rsidRPr="0070777B">
        <w:rPr>
          <w:rFonts w:ascii="Times New Roman" w:hAnsi="Times New Roman" w:cs="Times New Roman"/>
          <w:sz w:val="28"/>
          <w:szCs w:val="28"/>
        </w:rPr>
        <w:t>нетабачные</w:t>
      </w:r>
      <w:proofErr w:type="spellEnd"/>
      <w:r w:rsidRPr="0070777B">
        <w:rPr>
          <w:rFonts w:ascii="Times New Roman" w:hAnsi="Times New Roman" w:cs="Times New Roman"/>
          <w:sz w:val="28"/>
          <w:szCs w:val="28"/>
        </w:rPr>
        <w:t xml:space="preserve"> </w:t>
      </w:r>
      <w:proofErr w:type="spellStart"/>
      <w:r w:rsidRPr="0070777B">
        <w:rPr>
          <w:rFonts w:ascii="Times New Roman" w:hAnsi="Times New Roman" w:cs="Times New Roman"/>
          <w:sz w:val="28"/>
          <w:szCs w:val="28"/>
        </w:rPr>
        <w:t>никотиносодержащие</w:t>
      </w:r>
      <w:proofErr w:type="spellEnd"/>
      <w:r w:rsidRPr="0070777B">
        <w:rPr>
          <w:rFonts w:ascii="Times New Roman" w:hAnsi="Times New Roman" w:cs="Times New Roman"/>
          <w:sz w:val="28"/>
          <w:szCs w:val="28"/>
        </w:rPr>
        <w:t xml:space="preserve"> изделия, электронные системы курения и жидкости для электронных систем курения.</w:t>
      </w:r>
    </w:p>
    <w:p w:rsidR="00394A91" w:rsidRPr="0070777B" w:rsidRDefault="00394A91" w:rsidP="0060158D">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394A91" w:rsidRPr="0070777B" w:rsidRDefault="00394A91" w:rsidP="0060158D">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0777B" w:rsidRDefault="00394A91" w:rsidP="0060158D">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0777B" w:rsidRDefault="00394A91" w:rsidP="0060158D">
      <w:pPr>
        <w:pStyle w:val="a8"/>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394A91" w:rsidRPr="0070777B" w:rsidRDefault="00394A91" w:rsidP="00394A91">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394A91" w:rsidRPr="0070777B" w:rsidRDefault="00394A91" w:rsidP="00394A91">
      <w:pPr>
        <w:pStyle w:val="Arial0"/>
        <w:tabs>
          <w:tab w:val="left" w:pos="0"/>
        </w:tabs>
        <w:ind w:firstLine="567"/>
        <w:rPr>
          <w:rFonts w:ascii="Times New Roman" w:hAnsi="Times New Roman"/>
          <w:b w:val="0"/>
          <w:bCs/>
          <w:i/>
          <w:iCs/>
          <w:sz w:val="28"/>
          <w:szCs w:val="28"/>
        </w:rPr>
      </w:pPr>
      <w:r w:rsidRPr="0070777B">
        <w:rPr>
          <w:rFonts w:ascii="Times New Roman" w:hAnsi="Times New Roman"/>
          <w:i/>
          <w:iCs/>
          <w:sz w:val="28"/>
          <w:szCs w:val="28"/>
        </w:rPr>
        <w:t xml:space="preserve">Справочно: </w:t>
      </w:r>
      <w:r w:rsidRPr="0070777B">
        <w:rPr>
          <w:rFonts w:ascii="Times New Roman" w:hAnsi="Times New Roman"/>
          <w:b w:val="0"/>
          <w:bCs/>
          <w:i/>
          <w:iCs/>
          <w:sz w:val="28"/>
          <w:szCs w:val="28"/>
        </w:rPr>
        <w:t>до 01.01.2024 срок вручения извещений – не позднее 1 сентября.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-местам (далее — иные здания, сооружения).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0777B" w:rsidRDefault="00394A91" w:rsidP="00394A91">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В отношении жилых домов, квартир, садовых и дачных домиков, гаражей,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 порядок определения расчетной стоимости не изменился.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0777B" w:rsidRDefault="00394A91" w:rsidP="0060158D">
      <w:pPr>
        <w:pStyle w:val="a8"/>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394A91" w:rsidRPr="0070777B" w:rsidRDefault="00394A91" w:rsidP="0060158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lastRenderedPageBreak/>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0777B" w:rsidRDefault="00394A91" w:rsidP="0091018B">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394A91" w:rsidRPr="0070777B" w:rsidRDefault="00394A91" w:rsidP="00394A9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394A91" w:rsidRPr="0070777B" w:rsidRDefault="0091018B"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w:t>
      </w:r>
      <w:r w:rsidR="00394A91" w:rsidRPr="0070777B">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0777B">
        <w:rPr>
          <w:rFonts w:ascii="Times New Roman" w:hAnsi="Times New Roman" w:cs="Times New Roman"/>
          <w:sz w:val="28"/>
          <w:szCs w:val="28"/>
        </w:rPr>
        <w:t>.</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w:t>
      </w:r>
      <w:r w:rsidRPr="0070777B">
        <w:rPr>
          <w:rFonts w:ascii="Times New Roman" w:hAnsi="Times New Roman" w:cs="Times New Roman"/>
          <w:sz w:val="28"/>
          <w:szCs w:val="28"/>
        </w:rPr>
        <w:lastRenderedPageBreak/>
        <w:t>определении совокупного дохода, в отношении которого применяется ставка подоходного налога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0777B" w:rsidRDefault="00394A91" w:rsidP="00394A91">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Сбор за осуществление ремесленной деятельности, сбор за осуществление деятельности по оказанию услуг в сфере агроэкотуризма</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ставка сбора 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 xml:space="preserve">по сроку 3 января 2024 г. производится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1018B"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0777B" w:rsidRDefault="00394A91" w:rsidP="0091018B">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394A91" w:rsidRPr="0070777B" w:rsidRDefault="00394A91" w:rsidP="0091018B">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394A91" w:rsidRPr="0070777B" w:rsidRDefault="00394A91" w:rsidP="0091018B">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lastRenderedPageBreak/>
        <w:t>Акцизы</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0777B" w:rsidRDefault="00394A91" w:rsidP="0091018B">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Товар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смеси для кальяна» выделен из группы товаров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w:t>
      </w:r>
      <w:proofErr w:type="spellStart"/>
      <w:r w:rsidRPr="0070777B">
        <w:rPr>
          <w:rFonts w:cs="Times New Roman"/>
          <w:bCs/>
          <w:szCs w:val="28"/>
        </w:rPr>
        <w:t>нетабачных</w:t>
      </w:r>
      <w:proofErr w:type="spellEnd"/>
      <w:r w:rsidRPr="0070777B">
        <w:rPr>
          <w:rFonts w:cs="Times New Roman"/>
          <w:bCs/>
          <w:szCs w:val="28"/>
        </w:rPr>
        <w:t xml:space="preserve"> </w:t>
      </w:r>
      <w:proofErr w:type="spellStart"/>
      <w:r w:rsidRPr="0070777B">
        <w:rPr>
          <w:rFonts w:cs="Times New Roman"/>
          <w:bCs/>
          <w:szCs w:val="28"/>
        </w:rPr>
        <w:t>никотиносодержащих</w:t>
      </w:r>
      <w:proofErr w:type="spellEnd"/>
      <w:r w:rsidRPr="0070777B">
        <w:rPr>
          <w:rFonts w:cs="Times New Roman"/>
          <w:bCs/>
          <w:szCs w:val="28"/>
        </w:rPr>
        <w:t xml:space="preserve"> смесей для кальяна было экономически нецелесообразно.</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lastRenderedPageBreak/>
        <w:t>предусмотрен срок обращения менее одного года;</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0777B" w:rsidRDefault="00394A91" w:rsidP="0091018B">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394A91"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1018B"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w:t>
      </w:r>
      <w:r w:rsidR="00551555" w:rsidRPr="0070777B">
        <w:rPr>
          <w:rFonts w:cs="Times New Roman"/>
          <w:i/>
          <w:iCs/>
          <w:szCs w:val="28"/>
          <w:u w:val="single"/>
        </w:rPr>
        <w:t xml:space="preserve"> </w:t>
      </w:r>
      <w:r w:rsidRPr="0070777B">
        <w:rPr>
          <w:rFonts w:cs="Times New Roman"/>
          <w:i/>
          <w:iCs/>
          <w:szCs w:val="28"/>
          <w:u w:val="single"/>
        </w:rPr>
        <w:t>налог</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0777B">
        <w:rPr>
          <w:rFonts w:cs="Times New Roman"/>
          <w:szCs w:val="28"/>
        </w:rPr>
        <w:t>.</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0777B" w:rsidRDefault="00394A91" w:rsidP="00551555">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0777B">
        <w:rPr>
          <w:rFonts w:eastAsia="Calibri" w:cs="Times New Roman"/>
          <w:szCs w:val="28"/>
        </w:rPr>
        <w:t>.</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cs="Times New Roman"/>
          <w:szCs w:val="28"/>
        </w:rPr>
        <w:lastRenderedPageBreak/>
        <w:t xml:space="preserve">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w:t>
      </w:r>
      <w:proofErr w:type="spellStart"/>
      <w:r w:rsidRPr="0070777B">
        <w:rPr>
          <w:rFonts w:cs="Times New Roman"/>
          <w:szCs w:val="28"/>
        </w:rPr>
        <w:t>аккуммулировании</w:t>
      </w:r>
      <w:proofErr w:type="spellEnd"/>
      <w:r w:rsidRPr="0070777B">
        <w:rPr>
          <w:rFonts w:cs="Times New Roman"/>
          <w:szCs w:val="28"/>
        </w:rPr>
        <w:t xml:space="preserve">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w:t>
      </w:r>
      <w:r w:rsidR="00551555" w:rsidRPr="0070777B">
        <w:rPr>
          <w:rFonts w:eastAsia="Calibri" w:cs="Times New Roman"/>
          <w:bCs/>
          <w:i/>
          <w:iCs/>
          <w:szCs w:val="28"/>
          <w:u w:val="single"/>
        </w:rPr>
        <w:t xml:space="preserve"> </w:t>
      </w:r>
      <w:r w:rsidRPr="0070777B">
        <w:rPr>
          <w:rFonts w:eastAsia="Calibri" w:cs="Times New Roman"/>
          <w:bCs/>
          <w:i/>
          <w:iCs/>
          <w:szCs w:val="28"/>
          <w:u w:val="single"/>
        </w:rPr>
        <w:t>(УСН)</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 xml:space="preserve">при наличии у них сертификата соответствия, выданного на оказание услуг гостиниц. Это позволит </w:t>
      </w:r>
      <w:r w:rsidR="00551555" w:rsidRPr="0070777B">
        <w:rPr>
          <w:rFonts w:cs="Times New Roman"/>
          <w:szCs w:val="28"/>
        </w:rPr>
        <w:t>выровнять</w:t>
      </w:r>
      <w:r w:rsidRPr="0070777B">
        <w:rPr>
          <w:rFonts w:cs="Times New Roman"/>
          <w:szCs w:val="28"/>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394A91" w:rsidRPr="0070777B" w:rsidRDefault="00394A91" w:rsidP="00551555">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394A91" w:rsidRPr="0070777B" w:rsidRDefault="00394A91" w:rsidP="00551555">
      <w:pPr>
        <w:widowControl w:val="0"/>
        <w:tabs>
          <w:tab w:val="left" w:pos="0"/>
        </w:tabs>
        <w:spacing w:after="0" w:line="240" w:lineRule="auto"/>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0777B" w:rsidRDefault="00394A91" w:rsidP="00551555">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w:t>
      </w:r>
      <w:r w:rsidRPr="0070777B">
        <w:rPr>
          <w:rFonts w:cs="Times New Roman"/>
          <w:szCs w:val="28"/>
        </w:rPr>
        <w:lastRenderedPageBreak/>
        <w:t xml:space="preserve">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394A91" w:rsidRPr="0070777B" w:rsidRDefault="00394A91" w:rsidP="00551555">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С 2024 года в случае, когда лизингополучатель заключает договор </w:t>
      </w:r>
      <w:proofErr w:type="spellStart"/>
      <w:r w:rsidRPr="0070777B">
        <w:rPr>
          <w:rFonts w:eastAsia="Calibri" w:cs="Times New Roman"/>
          <w:szCs w:val="28"/>
        </w:rPr>
        <w:t>сублизинга</w:t>
      </w:r>
      <w:proofErr w:type="spellEnd"/>
      <w:r w:rsidRPr="0070777B">
        <w:rPr>
          <w:rFonts w:eastAsia="Calibri" w:cs="Times New Roman"/>
          <w:szCs w:val="28"/>
        </w:rPr>
        <w:t xml:space="preserve"> и передает транспортное средство </w:t>
      </w:r>
      <w:proofErr w:type="spellStart"/>
      <w:r w:rsidRPr="0070777B">
        <w:rPr>
          <w:rFonts w:eastAsia="Calibri" w:cs="Times New Roman"/>
          <w:szCs w:val="28"/>
        </w:rPr>
        <w:t>сублизингополучателю</w:t>
      </w:r>
      <w:proofErr w:type="spellEnd"/>
      <w:r w:rsidRPr="0070777B">
        <w:rPr>
          <w:rFonts w:eastAsia="Calibri" w:cs="Times New Roman"/>
          <w:szCs w:val="28"/>
        </w:rPr>
        <w:t xml:space="preserve">, Плательщиком транспортного налога является </w:t>
      </w:r>
      <w:proofErr w:type="spellStart"/>
      <w:r w:rsidRPr="0070777B">
        <w:rPr>
          <w:rFonts w:eastAsia="Calibri" w:cs="Times New Roman"/>
          <w:szCs w:val="28"/>
        </w:rPr>
        <w:t>сублизингополучатель</w:t>
      </w:r>
      <w:proofErr w:type="spellEnd"/>
      <w:r w:rsidRPr="0070777B">
        <w:rPr>
          <w:rFonts w:eastAsia="Calibri" w:cs="Times New Roman"/>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 xml:space="preserve">в отношении транспортного налога с организаций будет применяться </w:t>
      </w:r>
      <w:proofErr w:type="spellStart"/>
      <w:r w:rsidRPr="0070777B">
        <w:rPr>
          <w:rFonts w:eastAsia="Calibri" w:cs="Times New Roman"/>
          <w:szCs w:val="28"/>
        </w:rPr>
        <w:t>префайлинг</w:t>
      </w:r>
      <w:proofErr w:type="spellEnd"/>
      <w:r w:rsidRPr="0070777B">
        <w:rPr>
          <w:rFonts w:eastAsia="Calibri" w:cs="Times New Roman"/>
          <w:szCs w:val="28"/>
        </w:rPr>
        <w:t xml:space="preserve">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Default="007C66C9"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Default="00016FE0" w:rsidP="00551555">
      <w:pPr>
        <w:tabs>
          <w:tab w:val="left" w:pos="0"/>
        </w:tabs>
        <w:autoSpaceDE w:val="0"/>
        <w:autoSpaceDN w:val="0"/>
        <w:adjustRightInd w:val="0"/>
        <w:spacing w:after="0" w:line="240" w:lineRule="auto"/>
        <w:ind w:firstLine="567"/>
        <w:jc w:val="both"/>
        <w:rPr>
          <w:rFonts w:cs="Times New Roman"/>
          <w:i/>
          <w:szCs w:val="28"/>
        </w:rPr>
      </w:pPr>
    </w:p>
    <w:p w:rsidR="00016FE0" w:rsidRPr="0070777B" w:rsidRDefault="00016FE0" w:rsidP="00551555">
      <w:pPr>
        <w:tabs>
          <w:tab w:val="left" w:pos="0"/>
        </w:tabs>
        <w:autoSpaceDE w:val="0"/>
        <w:autoSpaceDN w:val="0"/>
        <w:adjustRightInd w:val="0"/>
        <w:spacing w:after="0" w:line="240" w:lineRule="auto"/>
        <w:ind w:firstLine="567"/>
        <w:jc w:val="both"/>
        <w:rPr>
          <w:rFonts w:cs="Times New Roman"/>
          <w:i/>
          <w:szCs w:val="28"/>
        </w:rPr>
      </w:pPr>
    </w:p>
    <w:p w:rsidR="007C66C9" w:rsidRPr="0070777B" w:rsidRDefault="007C66C9" w:rsidP="007C66C9">
      <w:pPr>
        <w:tabs>
          <w:tab w:val="left" w:pos="0"/>
        </w:tabs>
        <w:autoSpaceDE w:val="0"/>
        <w:autoSpaceDN w:val="0"/>
        <w:adjustRightInd w:val="0"/>
        <w:spacing w:after="0" w:line="240" w:lineRule="auto"/>
        <w:jc w:val="center"/>
        <w:rPr>
          <w:rFonts w:cs="Times New Roman"/>
          <w:b/>
          <w:bCs/>
          <w:szCs w:val="28"/>
        </w:rPr>
      </w:pPr>
      <w:r w:rsidRPr="0070777B">
        <w:rPr>
          <w:rFonts w:cs="Times New Roman"/>
          <w:b/>
          <w:bCs/>
          <w:szCs w:val="28"/>
        </w:rPr>
        <w:t>Негативные последствия употребления алкоголя</w:t>
      </w:r>
    </w:p>
    <w:p w:rsidR="007C66C9" w:rsidRPr="0070777B" w:rsidRDefault="007C66C9" w:rsidP="007C66C9">
      <w:pPr>
        <w:tabs>
          <w:tab w:val="left" w:pos="0"/>
        </w:tabs>
        <w:autoSpaceDE w:val="0"/>
        <w:autoSpaceDN w:val="0"/>
        <w:adjustRightInd w:val="0"/>
        <w:spacing w:after="0" w:line="240" w:lineRule="auto"/>
        <w:jc w:val="center"/>
        <w:rPr>
          <w:rFonts w:cs="Times New Roman"/>
          <w:i/>
          <w:iCs/>
          <w:sz w:val="20"/>
          <w:szCs w:val="20"/>
        </w:rPr>
      </w:pPr>
      <w:r w:rsidRPr="0070777B">
        <w:rPr>
          <w:rFonts w:cs="Times New Roman"/>
          <w:i/>
          <w:iCs/>
          <w:sz w:val="20"/>
          <w:szCs w:val="20"/>
        </w:rPr>
        <w:t>по материалам УЗ «Могилевский областной наркологический диспансер</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7C66C9" w:rsidRPr="0070777B" w:rsidRDefault="007C66C9" w:rsidP="007C66C9">
      <w:pPr>
        <w:pStyle w:val="12"/>
        <w:ind w:firstLine="709"/>
        <w:jc w:val="both"/>
        <w:rPr>
          <w:spacing w:val="-4"/>
          <w:sz w:val="28"/>
          <w:szCs w:val="28"/>
        </w:rPr>
      </w:pPr>
      <w:r w:rsidRPr="0070777B">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0777B" w:rsidRDefault="007C66C9" w:rsidP="00373E13">
      <w:pPr>
        <w:spacing w:after="0"/>
        <w:ind w:firstLine="709"/>
        <w:jc w:val="both"/>
        <w:rPr>
          <w:rFonts w:cs="Times New Roman"/>
          <w:b/>
          <w:spacing w:val="-4"/>
          <w:szCs w:val="28"/>
        </w:rPr>
      </w:pPr>
      <w:r w:rsidRPr="0070777B">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0777B">
        <w:rPr>
          <w:rFonts w:cs="Times New Roman"/>
          <w:b/>
          <w:spacing w:val="-12"/>
          <w:szCs w:val="28"/>
        </w:rPr>
        <w:t>наблюдением у врачей-психиатров-наркологов,</w:t>
      </w:r>
      <w:r w:rsidRPr="0070777B">
        <w:rPr>
          <w:rFonts w:cs="Times New Roman"/>
          <w:b/>
          <w:spacing w:val="-4"/>
          <w:szCs w:val="28"/>
        </w:rPr>
        <w:t xml:space="preserve"> </w:t>
      </w:r>
      <w:r w:rsidRPr="0070777B">
        <w:rPr>
          <w:rFonts w:cs="Times New Roman"/>
          <w:b/>
          <w:i/>
          <w:spacing w:val="-4"/>
          <w:szCs w:val="28"/>
        </w:rPr>
        <w:t>в Могилевской области</w:t>
      </w:r>
      <w:r w:rsidRPr="0070777B">
        <w:rPr>
          <w:rFonts w:cs="Times New Roman"/>
          <w:b/>
          <w:spacing w:val="-4"/>
          <w:szCs w:val="28"/>
        </w:rPr>
        <w:t xml:space="preserve"> уменьшилось на 11,1%. </w:t>
      </w:r>
    </w:p>
    <w:p w:rsidR="007C66C9" w:rsidRPr="0070777B" w:rsidRDefault="007C66C9" w:rsidP="00373E13">
      <w:pPr>
        <w:spacing w:after="0"/>
        <w:ind w:firstLine="709"/>
        <w:jc w:val="both"/>
        <w:rPr>
          <w:rFonts w:cs="Times New Roman"/>
          <w:spacing w:val="-8"/>
          <w:szCs w:val="28"/>
        </w:rPr>
      </w:pPr>
      <w:r w:rsidRPr="0070777B">
        <w:rPr>
          <w:rFonts w:cs="Times New Roman"/>
          <w:bCs/>
          <w:i/>
          <w:spacing w:val="-8"/>
          <w:szCs w:val="28"/>
        </w:rPr>
        <w:t xml:space="preserve">В Могилёвской области </w:t>
      </w:r>
      <w:r w:rsidRPr="0070777B">
        <w:rPr>
          <w:rFonts w:cs="Times New Roman"/>
          <w:bCs/>
          <w:spacing w:val="-8"/>
          <w:szCs w:val="28"/>
        </w:rPr>
        <w:t>на 1 января 2024 года под диспансерным</w:t>
      </w:r>
      <w:r w:rsidRPr="0070777B">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0777B" w:rsidRDefault="007C66C9" w:rsidP="00373E13">
      <w:pPr>
        <w:spacing w:after="0"/>
        <w:ind w:firstLine="709"/>
        <w:jc w:val="both"/>
        <w:rPr>
          <w:rFonts w:cs="Times New Roman"/>
          <w:spacing w:val="-8"/>
          <w:szCs w:val="28"/>
        </w:rPr>
      </w:pPr>
      <w:r w:rsidRPr="0070777B">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Pr="0070777B" w:rsidRDefault="007C66C9" w:rsidP="00373E13">
      <w:pPr>
        <w:spacing w:after="0"/>
        <w:ind w:firstLine="709"/>
        <w:jc w:val="both"/>
        <w:rPr>
          <w:rFonts w:cs="Times New Roman"/>
          <w:szCs w:val="28"/>
        </w:rPr>
      </w:pPr>
      <w:r w:rsidRPr="0070777B">
        <w:rPr>
          <w:rFonts w:cs="Times New Roman"/>
          <w:szCs w:val="2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Кроме негативного влияния на демографическую ситуацию, </w:t>
      </w:r>
      <w:r w:rsidRPr="0070777B">
        <w:rPr>
          <w:rFonts w:cs="Times New Roman"/>
          <w:b/>
          <w:szCs w:val="28"/>
        </w:rPr>
        <w:t>потребление алкоголя подрывает и экономику страны</w:t>
      </w:r>
      <w:r w:rsidRPr="0070777B">
        <w:rPr>
          <w:rFonts w:cs="Times New Roman"/>
          <w:szCs w:val="28"/>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7C66C9" w:rsidRPr="0070777B" w:rsidRDefault="007C66C9" w:rsidP="00373E13">
      <w:pPr>
        <w:spacing w:after="0"/>
        <w:ind w:firstLine="709"/>
        <w:jc w:val="both"/>
        <w:rPr>
          <w:rFonts w:cs="Times New Roman"/>
          <w:szCs w:val="28"/>
        </w:rPr>
      </w:pPr>
      <w:r w:rsidRPr="0070777B">
        <w:rPr>
          <w:rFonts w:cs="Times New Roman"/>
          <w:szCs w:val="28"/>
        </w:rPr>
        <w:lastRenderedPageBreak/>
        <w:t xml:space="preserve">Чрезмерное употребление алкоголя является существенным фактором глобального бремени болезней и </w:t>
      </w:r>
      <w:r w:rsidRPr="0070777B">
        <w:rPr>
          <w:rFonts w:cs="Times New Roman"/>
          <w:b/>
          <w:szCs w:val="28"/>
        </w:rPr>
        <w:t>третьим в мире ведущим фактором риска</w:t>
      </w:r>
      <w:r w:rsidRPr="0070777B">
        <w:rPr>
          <w:rFonts w:cs="Times New Roman"/>
          <w:szCs w:val="28"/>
        </w:rPr>
        <w:t>, вызывающим преждевременные случаи смерти и инвалидности.</w:t>
      </w:r>
    </w:p>
    <w:p w:rsidR="007C66C9" w:rsidRPr="0070777B" w:rsidRDefault="007C66C9" w:rsidP="00373E13">
      <w:pPr>
        <w:spacing w:after="0"/>
        <w:ind w:firstLine="709"/>
        <w:jc w:val="both"/>
        <w:rPr>
          <w:rFonts w:cs="Times New Roman"/>
          <w:spacing w:val="-4"/>
          <w:szCs w:val="28"/>
        </w:rPr>
      </w:pPr>
      <w:r w:rsidRPr="0070777B">
        <w:rPr>
          <w:rFonts w:cs="Times New Roman"/>
          <w:spacing w:val="-4"/>
          <w:szCs w:val="28"/>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0777B" w:rsidRDefault="007C66C9" w:rsidP="00373E13">
      <w:pPr>
        <w:spacing w:after="0"/>
        <w:ind w:firstLine="709"/>
        <w:jc w:val="both"/>
        <w:rPr>
          <w:rFonts w:cs="Times New Roman"/>
          <w:b/>
          <w:szCs w:val="28"/>
        </w:rPr>
      </w:pPr>
      <w:r w:rsidRPr="0070777B">
        <w:rPr>
          <w:rFonts w:cs="Times New Roman"/>
          <w:b/>
          <w:spacing w:val="-4"/>
          <w:szCs w:val="28"/>
        </w:rPr>
        <w:t>Один пьющий человек наносит прямой или косвенный ущерб</w:t>
      </w:r>
      <w:r w:rsidRPr="0070777B">
        <w:rPr>
          <w:rFonts w:cs="Times New Roman"/>
          <w:b/>
          <w:szCs w:val="28"/>
        </w:rPr>
        <w:t xml:space="preserve"> </w:t>
      </w:r>
      <w:r w:rsidRPr="0070777B">
        <w:rPr>
          <w:rFonts w:cs="Times New Roman"/>
          <w:b/>
          <w:spacing w:val="-8"/>
          <w:szCs w:val="28"/>
        </w:rPr>
        <w:t>минимум</w:t>
      </w:r>
      <w:r w:rsidRPr="0070777B">
        <w:rPr>
          <w:rFonts w:cs="Times New Roman"/>
          <w:b/>
          <w:spacing w:val="-16"/>
          <w:szCs w:val="28"/>
        </w:rPr>
        <w:t xml:space="preserve"> 9–10 лицам, </w:t>
      </w:r>
      <w:r w:rsidRPr="0070777B">
        <w:rPr>
          <w:rFonts w:cs="Times New Roman"/>
          <w:b/>
          <w:spacing w:val="-12"/>
          <w:szCs w:val="28"/>
        </w:rPr>
        <w:t>непосредственно</w:t>
      </w:r>
      <w:r w:rsidRPr="0070777B">
        <w:rPr>
          <w:rFonts w:cs="Times New Roman"/>
          <w:b/>
          <w:spacing w:val="-16"/>
          <w:szCs w:val="28"/>
        </w:rPr>
        <w:t xml:space="preserve"> </w:t>
      </w:r>
      <w:r w:rsidRPr="0070777B">
        <w:rPr>
          <w:rFonts w:cs="Times New Roman"/>
          <w:b/>
          <w:spacing w:val="-12"/>
          <w:szCs w:val="28"/>
        </w:rPr>
        <w:t>находящимся</w:t>
      </w:r>
      <w:r w:rsidRPr="0070777B">
        <w:rPr>
          <w:rFonts w:cs="Times New Roman"/>
          <w:b/>
          <w:spacing w:val="-16"/>
          <w:szCs w:val="28"/>
        </w:rPr>
        <w:t xml:space="preserve"> в его </w:t>
      </w:r>
      <w:r w:rsidRPr="0070777B">
        <w:rPr>
          <w:rFonts w:cs="Times New Roman"/>
          <w:b/>
          <w:spacing w:val="-12"/>
          <w:szCs w:val="28"/>
        </w:rPr>
        <w:t>окружении</w:t>
      </w:r>
      <w:r w:rsidRPr="0070777B">
        <w:rPr>
          <w:rFonts w:cs="Times New Roman"/>
          <w:b/>
          <w:spacing w:val="-16"/>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0777B" w:rsidRDefault="007C66C9" w:rsidP="00373E13">
      <w:pPr>
        <w:spacing w:after="0"/>
        <w:ind w:firstLine="709"/>
        <w:jc w:val="both"/>
        <w:rPr>
          <w:rFonts w:cs="Times New Roman"/>
          <w:szCs w:val="28"/>
        </w:rPr>
      </w:pPr>
      <w:r w:rsidRPr="0070777B">
        <w:rPr>
          <w:rFonts w:cs="Times New Roman"/>
          <w:szCs w:val="28"/>
        </w:rPr>
        <w:t>Учеными доказано, что</w:t>
      </w:r>
      <w:r w:rsidRPr="0070777B">
        <w:rPr>
          <w:rFonts w:cs="Times New Roman"/>
          <w:b/>
          <w:szCs w:val="28"/>
        </w:rPr>
        <w:t xml:space="preserve"> нет безопасных, а тем более полезных доз алкоголя</w:t>
      </w:r>
      <w:r w:rsidRPr="0070777B">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При регулярном приеме алкогольных напитков промежуточный продукт окисления алкоголя </w:t>
      </w:r>
      <w:r w:rsidRPr="0070777B">
        <w:rPr>
          <w:i/>
          <w:sz w:val="28"/>
          <w:szCs w:val="28"/>
        </w:rPr>
        <w:t>(ацетальдегид)</w:t>
      </w:r>
      <w:r w:rsidRPr="0070777B">
        <w:rPr>
          <w:sz w:val="28"/>
          <w:szCs w:val="28"/>
        </w:rPr>
        <w:t xml:space="preserve"> может приводить к образованию специфических веществ типа морфина, способствуя </w:t>
      </w:r>
      <w:r w:rsidRPr="0070777B">
        <w:rPr>
          <w:b/>
          <w:spacing w:val="-8"/>
          <w:sz w:val="28"/>
          <w:szCs w:val="28"/>
        </w:rPr>
        <w:t>формированию зависимости</w:t>
      </w:r>
      <w:r w:rsidRPr="0070777B">
        <w:rPr>
          <w:spacing w:val="-8"/>
          <w:sz w:val="28"/>
          <w:szCs w:val="28"/>
        </w:rPr>
        <w:t>, аналогичной пристрастию к наркотикам, –</w:t>
      </w:r>
      <w:r w:rsidRPr="0070777B">
        <w:rPr>
          <w:sz w:val="28"/>
          <w:szCs w:val="28"/>
        </w:rPr>
        <w:t xml:space="preserve"> болезненному влечению к алкоголю, лежащему в основе синдрома зависимости от алкоголя.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детском и подростковом возрасте разрушительное действие </w:t>
      </w:r>
      <w:r w:rsidRPr="0070777B">
        <w:rPr>
          <w:rFonts w:cs="Times New Roman"/>
          <w:spacing w:val="-8"/>
          <w:szCs w:val="28"/>
        </w:rPr>
        <w:t xml:space="preserve">алкоголя происходит ускоренными темпами. </w:t>
      </w:r>
      <w:r w:rsidRPr="0070777B">
        <w:rPr>
          <w:rFonts w:cs="Times New Roman"/>
          <w:b/>
          <w:spacing w:val="-8"/>
          <w:szCs w:val="28"/>
        </w:rPr>
        <w:t>Молодой, развивающийся</w:t>
      </w:r>
      <w:r w:rsidRPr="0070777B">
        <w:rPr>
          <w:rFonts w:cs="Times New Roman"/>
          <w:b/>
          <w:szCs w:val="28"/>
        </w:rPr>
        <w:t xml:space="preserve"> организм в 6–8 раз быстрее, чем взрослый, привыкает к хмельным напиткам</w:t>
      </w:r>
      <w:r w:rsidRPr="0070777B">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Очевидна связь пьянства и алкоголизма с преступностью. </w:t>
      </w:r>
    </w:p>
    <w:p w:rsidR="007C66C9" w:rsidRPr="0070777B" w:rsidRDefault="007C66C9" w:rsidP="007C66C9">
      <w:pPr>
        <w:pStyle w:val="af7"/>
        <w:spacing w:after="0"/>
        <w:ind w:left="0" w:firstLine="709"/>
        <w:jc w:val="both"/>
        <w:rPr>
          <w:sz w:val="28"/>
          <w:szCs w:val="28"/>
        </w:rPr>
      </w:pPr>
      <w:r w:rsidRPr="0070777B">
        <w:rPr>
          <w:b/>
          <w:sz w:val="28"/>
          <w:szCs w:val="28"/>
        </w:rPr>
        <w:t>Каждое четвертое преступление в стране совершается в состоянии алкогольного опьянения</w:t>
      </w:r>
      <w:r w:rsidRPr="0070777B">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0777B" w:rsidRDefault="007C66C9" w:rsidP="00373E13">
      <w:pPr>
        <w:spacing w:after="0"/>
        <w:ind w:firstLine="709"/>
        <w:contextualSpacing/>
        <w:jc w:val="both"/>
        <w:rPr>
          <w:rFonts w:cs="Times New Roman"/>
          <w:i/>
          <w:iCs/>
          <w:szCs w:val="28"/>
        </w:rPr>
      </w:pPr>
      <w:r w:rsidRPr="0070777B">
        <w:rPr>
          <w:rFonts w:cs="Times New Roman"/>
          <w:i/>
          <w:iCs/>
          <w:szCs w:val="28"/>
        </w:rPr>
        <w:t xml:space="preserve">Справочно: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Профилактикой пьянства, алкоголизма и наркомании в Республике Беларусь непосредственно занимается </w:t>
      </w:r>
      <w:r w:rsidRPr="0070777B">
        <w:rPr>
          <w:b/>
          <w:sz w:val="28"/>
          <w:szCs w:val="28"/>
        </w:rPr>
        <w:t>наркологическая служба</w:t>
      </w:r>
      <w:r w:rsidRPr="0070777B">
        <w:rPr>
          <w:sz w:val="28"/>
          <w:szCs w:val="28"/>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b/>
          <w:i/>
          <w:szCs w:val="28"/>
        </w:rPr>
        <w:t xml:space="preserve">В Могилёвской области в настоящее время </w:t>
      </w:r>
      <w:r w:rsidRPr="0070777B">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lastRenderedPageBreak/>
        <w:t xml:space="preserve">В амбулаторной службе области работает более 40 врачей-наркологов.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0777B" w:rsidRDefault="007C66C9" w:rsidP="00373E13">
      <w:pPr>
        <w:spacing w:after="0"/>
        <w:ind w:firstLine="709"/>
        <w:jc w:val="both"/>
        <w:rPr>
          <w:rFonts w:eastAsia="Calibri" w:cs="Times New Roman"/>
          <w:szCs w:val="28"/>
          <w:lang w:eastAsia="ar-SA"/>
        </w:rPr>
      </w:pPr>
      <w:r w:rsidRPr="0070777B">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0777B" w:rsidRDefault="007C66C9" w:rsidP="00373E13">
      <w:pPr>
        <w:spacing w:after="0"/>
        <w:ind w:firstLine="709"/>
        <w:jc w:val="both"/>
        <w:rPr>
          <w:rFonts w:cs="Times New Roman"/>
          <w:i/>
          <w:iCs/>
          <w:szCs w:val="28"/>
        </w:rPr>
      </w:pPr>
      <w:r w:rsidRPr="0070777B">
        <w:rPr>
          <w:rFonts w:cs="Times New Roman"/>
          <w:i/>
          <w:iCs/>
          <w:szCs w:val="28"/>
        </w:rPr>
        <w:t xml:space="preserve">Справочно: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наркологический диспансер» на 15 коек. Срок пребывания пациентов 28 дней.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0777B">
        <w:rPr>
          <w:rFonts w:cs="Times New Roman"/>
          <w:b/>
          <w:szCs w:val="28"/>
        </w:rPr>
        <w:t xml:space="preserve">Директивы Президента Республики Беларусь от 11 марта 2004 г. </w:t>
      </w:r>
      <w:r w:rsidRPr="0070777B">
        <w:rPr>
          <w:rFonts w:cs="Times New Roman"/>
          <w:b/>
          <w:spacing w:val="-12"/>
          <w:szCs w:val="28"/>
        </w:rPr>
        <w:t>№ 1</w:t>
      </w:r>
      <w:r w:rsidRPr="0070777B">
        <w:rPr>
          <w:rFonts w:cs="Times New Roman"/>
          <w:spacing w:val="-12"/>
          <w:szCs w:val="28"/>
        </w:rPr>
        <w:t xml:space="preserve"> «О мерах по укреплению общественной безопасности и дисциплины»</w:t>
      </w:r>
      <w:r w:rsidRPr="0070777B">
        <w:rPr>
          <w:rFonts w:cs="Times New Roman"/>
          <w:szCs w:val="28"/>
        </w:rPr>
        <w:t>.</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Одной из действенных превентивных мер является </w:t>
      </w:r>
      <w:r w:rsidRPr="0070777B">
        <w:rPr>
          <w:rFonts w:cs="Times New Roman"/>
          <w:b/>
          <w:szCs w:val="28"/>
        </w:rPr>
        <w:t>изоляция лиц в лечебно-трудовые профилактории (ЛТП)</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Всего территориальными органами внутренних дел в ЛТП изолировано 879 граждан, из которых 320 – совершивших преступления                                      </w:t>
      </w:r>
      <w:r w:rsidRPr="0070777B">
        <w:rPr>
          <w:rFonts w:cs="Times New Roman"/>
          <w:szCs w:val="28"/>
        </w:rPr>
        <w:lastRenderedPageBreak/>
        <w:t xml:space="preserve">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0777B" w:rsidRDefault="007C66C9" w:rsidP="00373E13">
      <w:pPr>
        <w:spacing w:after="0"/>
        <w:ind w:firstLine="750"/>
        <w:jc w:val="both"/>
        <w:rPr>
          <w:rFonts w:cs="Times New Roman"/>
          <w:b/>
          <w:szCs w:val="28"/>
        </w:rPr>
      </w:pPr>
      <w:r w:rsidRPr="0070777B">
        <w:rPr>
          <w:rFonts w:cs="Times New Roman"/>
          <w:szCs w:val="28"/>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0777B">
        <w:rPr>
          <w:rFonts w:cs="Times New Roman"/>
          <w:b/>
          <w:szCs w:val="28"/>
        </w:rPr>
        <w:t>ограничение в дееспособности.</w:t>
      </w:r>
    </w:p>
    <w:p w:rsidR="007C66C9" w:rsidRPr="0070777B" w:rsidRDefault="007C66C9" w:rsidP="00373E13">
      <w:pPr>
        <w:spacing w:after="0"/>
        <w:ind w:firstLine="709"/>
        <w:jc w:val="both"/>
        <w:rPr>
          <w:rFonts w:cs="Times New Roman"/>
          <w:szCs w:val="28"/>
        </w:rPr>
      </w:pPr>
      <w:r w:rsidRPr="0070777B">
        <w:rPr>
          <w:rFonts w:cs="Times New Roman"/>
          <w:szCs w:val="2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0777B" w:rsidRDefault="007C66C9" w:rsidP="00373E13">
      <w:pPr>
        <w:spacing w:after="0"/>
        <w:ind w:firstLine="709"/>
        <w:jc w:val="both"/>
        <w:rPr>
          <w:rFonts w:cs="Times New Roman"/>
          <w:szCs w:val="28"/>
        </w:rPr>
      </w:pPr>
      <w:r w:rsidRPr="0070777B">
        <w:rPr>
          <w:rFonts w:cs="Times New Roman"/>
          <w:b/>
          <w:szCs w:val="28"/>
        </w:rPr>
        <w:t>Основными задачами</w:t>
      </w:r>
      <w:r w:rsidRPr="0070777B">
        <w:rPr>
          <w:rFonts w:cs="Times New Roman"/>
          <w:szCs w:val="28"/>
        </w:rPr>
        <w:t xml:space="preserve"> </w:t>
      </w:r>
      <w:r w:rsidRPr="0070777B">
        <w:rPr>
          <w:rFonts w:cs="Times New Roman"/>
          <w:b/>
          <w:szCs w:val="28"/>
        </w:rPr>
        <w:t>по предупреждению и преодолению пьянства и алкоголизма являются</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снижение уровня негативных социальных и экономических последствий пьянства и алкоголизма;</w:t>
      </w:r>
    </w:p>
    <w:p w:rsidR="007C66C9" w:rsidRPr="0070777B" w:rsidRDefault="007C66C9" w:rsidP="00373E13">
      <w:pPr>
        <w:spacing w:after="0"/>
        <w:ind w:firstLine="709"/>
        <w:jc w:val="both"/>
        <w:rPr>
          <w:rFonts w:cs="Times New Roman"/>
          <w:szCs w:val="28"/>
        </w:rPr>
      </w:pPr>
      <w:r w:rsidRPr="0070777B">
        <w:rPr>
          <w:rFonts w:cs="Times New Roman"/>
          <w:szCs w:val="28"/>
        </w:rPr>
        <w:t>снижение объемов потребления населением алкогольных, слабоалкогольных напитков, пива.</w:t>
      </w:r>
    </w:p>
    <w:p w:rsidR="007C66C9" w:rsidRPr="0070777B" w:rsidRDefault="007C66C9" w:rsidP="00373E13">
      <w:pPr>
        <w:spacing w:after="0"/>
        <w:ind w:firstLine="709"/>
        <w:jc w:val="both"/>
        <w:rPr>
          <w:rFonts w:cs="Times New Roman"/>
          <w:szCs w:val="28"/>
        </w:rPr>
      </w:pPr>
      <w:r w:rsidRPr="0070777B">
        <w:rPr>
          <w:rFonts w:cs="Times New Roman"/>
          <w:szCs w:val="28"/>
        </w:rPr>
        <w:t>Постановлением Совета Министров Республики Беларусь</w:t>
      </w:r>
      <w:r w:rsidRPr="0070777B">
        <w:rPr>
          <w:rFonts w:cs="Times New Roman"/>
          <w:szCs w:val="28"/>
        </w:rPr>
        <w:b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Целевыми показателями указанной подпрограммы по Могилевской области </w:t>
      </w:r>
      <w:r w:rsidRPr="0070777B">
        <w:rPr>
          <w:rFonts w:cs="Times New Roman"/>
          <w:b/>
          <w:szCs w:val="28"/>
        </w:rPr>
        <w:t>предусматривается обеспечить к 2026 году</w:t>
      </w:r>
      <w:r w:rsidRPr="0070777B">
        <w:rPr>
          <w:rFonts w:cs="Times New Roman"/>
          <w:szCs w:val="28"/>
        </w:rPr>
        <w:t>:</w:t>
      </w:r>
    </w:p>
    <w:p w:rsidR="007C66C9" w:rsidRPr="0070777B" w:rsidRDefault="007C66C9" w:rsidP="007C66C9">
      <w:pPr>
        <w:pStyle w:val="ConsPlusNormal"/>
        <w:ind w:firstLine="709"/>
        <w:jc w:val="both"/>
        <w:rPr>
          <w:sz w:val="28"/>
          <w:szCs w:val="28"/>
        </w:rPr>
      </w:pPr>
      <w:r w:rsidRPr="0070777B">
        <w:rPr>
          <w:spacing w:val="-4"/>
          <w:sz w:val="28"/>
          <w:szCs w:val="28"/>
        </w:rPr>
        <w:t>снижени</w:t>
      </w:r>
      <w:r w:rsidR="00373E13" w:rsidRPr="0070777B">
        <w:rPr>
          <w:spacing w:val="-4"/>
          <w:sz w:val="28"/>
          <w:szCs w:val="28"/>
        </w:rPr>
        <w:t>е</w:t>
      </w:r>
      <w:r w:rsidRPr="0070777B">
        <w:rPr>
          <w:spacing w:val="-4"/>
          <w:sz w:val="28"/>
          <w:szCs w:val="28"/>
        </w:rPr>
        <w:t xml:space="preserve"> потребления </w:t>
      </w:r>
      <w:r w:rsidRPr="0070777B">
        <w:rPr>
          <w:b/>
          <w:bCs/>
          <w:sz w:val="28"/>
          <w:szCs w:val="28"/>
        </w:rPr>
        <w:t>зарегистрированного алкоголя на душу населения в возрасте 15 лет и старше в абсолютном алкоголе</w:t>
      </w:r>
      <w:r w:rsidRPr="0070777B">
        <w:rPr>
          <w:spacing w:val="-4"/>
          <w:sz w:val="28"/>
          <w:szCs w:val="28"/>
        </w:rPr>
        <w:t xml:space="preserve"> до 10,3 литров;</w:t>
      </w:r>
      <w:r w:rsidRPr="0070777B">
        <w:rPr>
          <w:sz w:val="28"/>
          <w:szCs w:val="28"/>
        </w:rPr>
        <w:t xml:space="preserve"> </w:t>
      </w:r>
    </w:p>
    <w:p w:rsidR="007C66C9" w:rsidRPr="0070777B" w:rsidRDefault="007C66C9" w:rsidP="007C66C9">
      <w:pPr>
        <w:pStyle w:val="ConsPlusNormal"/>
        <w:ind w:firstLine="709"/>
        <w:jc w:val="both"/>
        <w:rPr>
          <w:spacing w:val="-4"/>
          <w:sz w:val="28"/>
          <w:szCs w:val="28"/>
        </w:rPr>
      </w:pPr>
      <w:r w:rsidRPr="0070777B">
        <w:rPr>
          <w:b/>
          <w:bCs/>
          <w:sz w:val="28"/>
          <w:szCs w:val="28"/>
        </w:rPr>
        <w:t>охват реабилитационными мероприятиями лиц, страдающих зависимостью от психоактивных веществ,</w:t>
      </w:r>
      <w:r w:rsidRPr="0070777B">
        <w:rPr>
          <w:sz w:val="28"/>
          <w:szCs w:val="28"/>
        </w:rPr>
        <w:t xml:space="preserve"> до</w:t>
      </w:r>
      <w:r w:rsidR="00373E13" w:rsidRPr="0070777B">
        <w:rPr>
          <w:sz w:val="28"/>
          <w:szCs w:val="28"/>
        </w:rPr>
        <w:t xml:space="preserve"> </w:t>
      </w:r>
      <w:r w:rsidRPr="0070777B">
        <w:rPr>
          <w:sz w:val="28"/>
          <w:szCs w:val="28"/>
        </w:rPr>
        <w:t>6,8% от лиц, состоящих под диспансерным наблюдением у врачей-психиатров-наркологов.</w:t>
      </w:r>
    </w:p>
    <w:p w:rsidR="007C66C9" w:rsidRPr="0070777B" w:rsidRDefault="007C66C9" w:rsidP="00373E13">
      <w:pPr>
        <w:spacing w:after="0"/>
        <w:ind w:firstLine="709"/>
        <w:jc w:val="both"/>
        <w:rPr>
          <w:rFonts w:cs="Times New Roman"/>
          <w:szCs w:val="28"/>
        </w:rPr>
      </w:pPr>
      <w:r w:rsidRPr="0070777B">
        <w:rPr>
          <w:rFonts w:cs="Times New Roman"/>
          <w:szCs w:val="2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7C66C9" w:rsidRPr="0070777B" w:rsidRDefault="007C66C9" w:rsidP="00373E13">
      <w:pPr>
        <w:widowControl w:val="0"/>
        <w:spacing w:after="0"/>
        <w:jc w:val="both"/>
        <w:rPr>
          <w:rFonts w:cs="Times New Roman"/>
          <w:szCs w:val="28"/>
        </w:rPr>
      </w:pPr>
      <w:r w:rsidRPr="0070777B">
        <w:rPr>
          <w:rFonts w:cs="Times New Roman"/>
          <w:szCs w:val="28"/>
        </w:rPr>
        <w:tab/>
        <w:t xml:space="preserve">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w:t>
      </w:r>
      <w:r w:rsidRPr="0070777B">
        <w:rPr>
          <w:rFonts w:cs="Times New Roman"/>
          <w:szCs w:val="28"/>
        </w:rPr>
        <w:lastRenderedPageBreak/>
        <w:t>пьянства и алкоголизма, борьбу с ними.</w:t>
      </w:r>
    </w:p>
    <w:p w:rsidR="007C66C9" w:rsidRPr="0070777B" w:rsidRDefault="007C66C9" w:rsidP="00373E13">
      <w:pPr>
        <w:widowControl w:val="0"/>
        <w:spacing w:after="0"/>
        <w:jc w:val="both"/>
        <w:rPr>
          <w:rFonts w:cs="Times New Roman"/>
          <w:szCs w:val="28"/>
        </w:rPr>
      </w:pPr>
      <w:r w:rsidRPr="0070777B">
        <w:rPr>
          <w:rFonts w:cs="Times New Roman"/>
          <w:szCs w:val="28"/>
        </w:rPr>
        <w:tab/>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0777B" w:rsidRDefault="007C66C9" w:rsidP="00373E13">
      <w:pPr>
        <w:ind w:firstLine="709"/>
        <w:jc w:val="both"/>
        <w:rPr>
          <w:rFonts w:cs="Times New Roman"/>
          <w:szCs w:val="28"/>
        </w:rPr>
      </w:pPr>
      <w:r w:rsidRPr="0070777B">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Pr="0070777B" w:rsidRDefault="0012445B" w:rsidP="00373E13">
      <w:pPr>
        <w:ind w:firstLine="709"/>
        <w:jc w:val="both"/>
        <w:rPr>
          <w:rFonts w:cs="Times New Roman"/>
          <w:szCs w:val="28"/>
        </w:rPr>
      </w:pPr>
    </w:p>
    <w:p w:rsidR="0012445B" w:rsidRDefault="0012445B"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Default="00016FE0" w:rsidP="00373E13">
      <w:pPr>
        <w:ind w:firstLine="709"/>
        <w:jc w:val="both"/>
        <w:rPr>
          <w:rFonts w:cs="Times New Roman"/>
          <w:szCs w:val="28"/>
        </w:rPr>
      </w:pPr>
    </w:p>
    <w:p w:rsidR="00016FE0" w:rsidRPr="0070777B" w:rsidRDefault="00016FE0" w:rsidP="00373E13">
      <w:pPr>
        <w:ind w:firstLine="709"/>
        <w:jc w:val="both"/>
        <w:rPr>
          <w:rFonts w:cs="Times New Roman"/>
          <w:szCs w:val="28"/>
        </w:rPr>
      </w:pPr>
    </w:p>
    <w:p w:rsidR="0012445B" w:rsidRPr="0070777B" w:rsidRDefault="0012445B" w:rsidP="0012445B">
      <w:pPr>
        <w:spacing w:after="0" w:line="240" w:lineRule="auto"/>
        <w:jc w:val="center"/>
        <w:rPr>
          <w:rFonts w:cs="Times New Roman"/>
          <w:b/>
          <w:szCs w:val="28"/>
        </w:rPr>
      </w:pPr>
      <w:r w:rsidRPr="0070777B">
        <w:rPr>
          <w:rFonts w:cs="Times New Roman"/>
          <w:b/>
          <w:szCs w:val="28"/>
        </w:rPr>
        <w:lastRenderedPageBreak/>
        <w:t>Предупреждение гибели и травматизма детей. Печная безопасность. Неосторожное обращение с огнем.  Электробезопасность.  АПИ. Лёд.</w:t>
      </w:r>
    </w:p>
    <w:p w:rsidR="0012445B" w:rsidRPr="0070777B" w:rsidRDefault="0012445B" w:rsidP="0012445B">
      <w:pPr>
        <w:spacing w:after="0" w:line="240" w:lineRule="auto"/>
        <w:jc w:val="center"/>
        <w:rPr>
          <w:rFonts w:cs="Times New Roman"/>
          <w:i/>
          <w:iCs/>
          <w:color w:val="000000"/>
          <w:sz w:val="20"/>
          <w:szCs w:val="20"/>
        </w:rPr>
      </w:pPr>
      <w:r w:rsidRPr="0070777B">
        <w:rPr>
          <w:rFonts w:cs="Times New Roman"/>
          <w:i/>
          <w:iCs/>
          <w:color w:val="000000"/>
          <w:sz w:val="20"/>
          <w:szCs w:val="20"/>
        </w:rPr>
        <w:t xml:space="preserve">по материалам </w:t>
      </w:r>
      <w:r w:rsidRPr="0070777B">
        <w:rPr>
          <w:rFonts w:cs="Times New Roman"/>
          <w:i/>
          <w:iCs/>
          <w:sz w:val="20"/>
          <w:szCs w:val="20"/>
        </w:rPr>
        <w:t>учреждения «Могилевское областное управление МЧС Республики Беларусь»</w:t>
      </w:r>
    </w:p>
    <w:p w:rsidR="0012445B" w:rsidRPr="0070777B" w:rsidRDefault="0012445B" w:rsidP="0012445B">
      <w:pPr>
        <w:spacing w:after="0" w:line="240" w:lineRule="auto"/>
        <w:ind w:firstLine="567"/>
        <w:jc w:val="both"/>
        <w:rPr>
          <w:rFonts w:cs="Times New Roman"/>
          <w:szCs w:val="28"/>
        </w:rPr>
      </w:pPr>
      <w:r w:rsidRPr="0070777B">
        <w:rPr>
          <w:rFonts w:cs="Times New Roman"/>
          <w:color w:val="000000"/>
          <w:szCs w:val="28"/>
        </w:rPr>
        <w:t xml:space="preserve">В январе 2024 года в области произошло 75 пожаров </w:t>
      </w:r>
      <w:r w:rsidRPr="0070777B">
        <w:rPr>
          <w:rFonts w:cs="Times New Roman"/>
          <w:szCs w:val="28"/>
        </w:rPr>
        <w:t>(в 2023 году – 73)</w:t>
      </w:r>
      <w:r w:rsidRPr="0070777B">
        <w:rPr>
          <w:rFonts w:cs="Times New Roman"/>
          <w:color w:val="000000"/>
          <w:szCs w:val="28"/>
        </w:rPr>
        <w:t xml:space="preserve">, погибло 16 человек </w:t>
      </w:r>
      <w:r w:rsidRPr="0070777B">
        <w:rPr>
          <w:rFonts w:cs="Times New Roman"/>
          <w:szCs w:val="28"/>
        </w:rPr>
        <w:t>(в 2023 году – 11)</w:t>
      </w:r>
      <w:r w:rsidRPr="0070777B">
        <w:rPr>
          <w:rFonts w:cs="Times New Roman"/>
          <w:color w:val="000000"/>
          <w:szCs w:val="28"/>
        </w:rPr>
        <w:t xml:space="preserve">. </w:t>
      </w:r>
      <w:r w:rsidRPr="0070777B">
        <w:rPr>
          <w:rFonts w:cs="Times New Roman"/>
          <w:szCs w:val="2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12445B" w:rsidRPr="0070777B" w:rsidRDefault="0012445B" w:rsidP="0012445B">
      <w:pPr>
        <w:spacing w:after="0" w:line="240" w:lineRule="auto"/>
        <w:ind w:firstLine="567"/>
        <w:jc w:val="center"/>
        <w:rPr>
          <w:rFonts w:cs="Times New Roman"/>
          <w:b/>
          <w:szCs w:val="28"/>
        </w:rPr>
      </w:pPr>
      <w:r w:rsidRPr="0070777B">
        <w:rPr>
          <w:rFonts w:cs="Times New Roman"/>
          <w:b/>
          <w:szCs w:val="28"/>
        </w:rPr>
        <w:t>Основными причинами возникновения возгораний стали:</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неосторожное обращение с огнём – 18 пожаров (в 2023 – 21 пожар);</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отопительного оборудования – 28 пожаров (в 2023 – 20 пожаров);</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электрооборудования –   14 пожаров (в 2023 – 24 пожара).</w:t>
      </w:r>
    </w:p>
    <w:p w:rsidR="0012445B" w:rsidRPr="0070777B" w:rsidRDefault="0012445B" w:rsidP="0012445B">
      <w:pPr>
        <w:pStyle w:val="a8"/>
        <w:spacing w:after="0" w:line="240" w:lineRule="auto"/>
        <w:ind w:left="0" w:firstLine="567"/>
        <w:jc w:val="both"/>
        <w:rPr>
          <w:rFonts w:cs="Times New Roman"/>
          <w:szCs w:val="28"/>
        </w:rPr>
      </w:pP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cs="Times New Roman"/>
          <w:color w:val="000000"/>
          <w:szCs w:val="28"/>
        </w:rPr>
      </w:pPr>
      <w:r w:rsidRPr="0070777B">
        <w:rPr>
          <w:rFonts w:cs="Times New Roman"/>
          <w:color w:val="000000"/>
          <w:szCs w:val="28"/>
        </w:rPr>
        <w:t xml:space="preserve">В городах произошло 35 пожаров (в 2023 </w:t>
      </w:r>
      <w:r w:rsidRPr="0070777B">
        <w:rPr>
          <w:rFonts w:cs="Times New Roman"/>
          <w:szCs w:val="28"/>
        </w:rPr>
        <w:t>–</w:t>
      </w:r>
      <w:r w:rsidRPr="0070777B">
        <w:rPr>
          <w:rFonts w:cs="Times New Roman"/>
          <w:color w:val="000000"/>
          <w:szCs w:val="28"/>
        </w:rPr>
        <w:t xml:space="preserve"> 41 пожар), погибло 3 человека (в 2023 </w:t>
      </w:r>
      <w:r w:rsidRPr="0070777B">
        <w:rPr>
          <w:rFonts w:cs="Times New Roman"/>
          <w:szCs w:val="28"/>
        </w:rPr>
        <w:t>–</w:t>
      </w:r>
      <w:r w:rsidRPr="0070777B">
        <w:rPr>
          <w:rFonts w:cs="Times New Roman"/>
          <w:color w:val="000000"/>
          <w:szCs w:val="28"/>
        </w:rPr>
        <w:t xml:space="preserve"> 4 человека). В сельской местности произошло 40 пожаров, (в 2023 – 32 пожара), погибло 13 человек (в 2023 </w:t>
      </w:r>
      <w:r w:rsidRPr="0070777B">
        <w:rPr>
          <w:rFonts w:cs="Times New Roman"/>
          <w:szCs w:val="28"/>
        </w:rPr>
        <w:t>–</w:t>
      </w:r>
      <w:r w:rsidRPr="0070777B">
        <w:rPr>
          <w:rFonts w:cs="Times New Roman"/>
          <w:color w:val="000000"/>
          <w:szCs w:val="28"/>
        </w:rPr>
        <w:t xml:space="preserve"> 7 человек).</w:t>
      </w: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С трагических событий начался год.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Пример:</w:t>
      </w:r>
      <w:r w:rsidRPr="0070777B">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70777B">
        <w:rPr>
          <w:rFonts w:cs="Times New Roman"/>
          <w:szCs w:val="28"/>
        </w:rPr>
        <w:t>Коробчино</w:t>
      </w:r>
      <w:proofErr w:type="spellEnd"/>
      <w:r w:rsidRPr="0070777B">
        <w:rPr>
          <w:rFonts w:cs="Times New Roman"/>
          <w:szCs w:val="28"/>
        </w:rPr>
        <w:t xml:space="preserve">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0777B" w:rsidRDefault="0012445B" w:rsidP="0012445B">
      <w:pPr>
        <w:spacing w:after="0" w:line="240" w:lineRule="auto"/>
        <w:ind w:firstLine="567"/>
        <w:jc w:val="both"/>
        <w:rPr>
          <w:rFonts w:cs="Times New Roman"/>
          <w:b/>
          <w:bCs/>
          <w:szCs w:val="28"/>
          <w:u w:val="single"/>
        </w:rPr>
      </w:pPr>
      <w:r w:rsidRPr="0070777B">
        <w:rPr>
          <w:rFonts w:cs="Times New Roman"/>
          <w:b/>
          <w:bCs/>
          <w:szCs w:val="28"/>
          <w:u w:val="single"/>
        </w:rPr>
        <w:t xml:space="preserve">В 2023 году на пожарах в Республике погибло 9 детей.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большинстве случаев главный фактор, играющий трагическую роль в гибели детей – это </w:t>
      </w:r>
      <w:r w:rsidRPr="0070777B">
        <w:rPr>
          <w:rFonts w:cs="Times New Roman"/>
          <w:b/>
          <w:szCs w:val="28"/>
        </w:rPr>
        <w:t>фактор родительской беспечности!</w:t>
      </w:r>
      <w:r w:rsidRPr="0070777B">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w:t>
      </w:r>
      <w:r w:rsidRPr="0070777B">
        <w:rPr>
          <w:rFonts w:cs="Times New Roman"/>
          <w:szCs w:val="28"/>
        </w:rPr>
        <w:lastRenderedPageBreak/>
        <w:t>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Печная безопасность.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b/>
          <w:sz w:val="28"/>
          <w:szCs w:val="28"/>
        </w:rPr>
        <w:t>Пример:</w:t>
      </w:r>
      <w:r w:rsidRPr="0070777B">
        <w:rPr>
          <w:rFonts w:ascii="Times New Roman" w:hAnsi="Times New Roman" w:cs="Times New Roman"/>
          <w:sz w:val="28"/>
          <w:szCs w:val="28"/>
        </w:rPr>
        <w:t xml:space="preserve"> </w:t>
      </w:r>
      <w:r w:rsidRPr="0070777B">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color w:val="000000"/>
          <w:szCs w:val="28"/>
        </w:rPr>
        <w:t>Пример:</w:t>
      </w:r>
      <w:r w:rsidRPr="0070777B">
        <w:rPr>
          <w:rFonts w:cs="Times New Roman"/>
          <w:color w:val="000000"/>
          <w:szCs w:val="28"/>
        </w:rPr>
        <w:t xml:space="preserve"> </w:t>
      </w:r>
      <w:r w:rsidRPr="0070777B">
        <w:rPr>
          <w:rFonts w:eastAsia="Times New Roman" w:cs="Times New Roman"/>
          <w:color w:val="000000"/>
          <w:szCs w:val="28"/>
        </w:rPr>
        <w:t>Вовремя проснулся и эвакуировался из дымового капкана 66-летний</w:t>
      </w:r>
      <w:r w:rsidRPr="0070777B">
        <w:rPr>
          <w:rFonts w:cs="Times New Roman"/>
          <w:color w:val="000000"/>
          <w:szCs w:val="28"/>
        </w:rPr>
        <w:t xml:space="preserve"> пенсионер</w:t>
      </w:r>
      <w:r w:rsidRPr="0070777B">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0777B">
        <w:rPr>
          <w:rFonts w:eastAsia="Times New Roman" w:cs="Times New Roman"/>
          <w:szCs w:val="28"/>
        </w:rPr>
        <w:t xml:space="preserve">нарушения правил эксплуатации печи 20 января около 3 часов ночи в доме начался пожар. Хозяин с диагнозом «отравление продуктами горения легкой степени» </w:t>
      </w:r>
      <w:r w:rsidRPr="0070777B">
        <w:rPr>
          <w:rFonts w:cs="Times New Roman"/>
          <w:szCs w:val="28"/>
        </w:rPr>
        <w:t xml:space="preserve">был </w:t>
      </w:r>
      <w:r w:rsidRPr="0070777B">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 xml:space="preserve">Пример: </w:t>
      </w:r>
      <w:r w:rsidRPr="0070777B">
        <w:rPr>
          <w:rFonts w:eastAsia="Times New Roman" w:cs="Times New Roman"/>
          <w:szCs w:val="28"/>
        </w:rPr>
        <w:t xml:space="preserve">Предположительно из-за топки печи с нарушениями, огонь оставил без крыши над головой семью в агрогородке </w:t>
      </w:r>
      <w:proofErr w:type="gramStart"/>
      <w:r w:rsidRPr="0070777B">
        <w:rPr>
          <w:rFonts w:eastAsia="Times New Roman" w:cs="Times New Roman"/>
          <w:szCs w:val="28"/>
        </w:rPr>
        <w:t>Ленино</w:t>
      </w:r>
      <w:proofErr w:type="gramEnd"/>
      <w:r w:rsidRPr="0070777B">
        <w:rPr>
          <w:rFonts w:eastAsia="Times New Roman" w:cs="Times New Roman"/>
          <w:szCs w:val="28"/>
        </w:rPr>
        <w:t xml:space="preserve">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На выходные в свой дачный дом, расположенный в деревне </w:t>
      </w:r>
      <w:proofErr w:type="spellStart"/>
      <w:r w:rsidRPr="0070777B">
        <w:rPr>
          <w:rFonts w:eastAsia="Times New Roman" w:cs="Times New Roman"/>
          <w:szCs w:val="28"/>
        </w:rPr>
        <w:t>Прихабы</w:t>
      </w:r>
      <w:proofErr w:type="spellEnd"/>
      <w:r w:rsidRPr="0070777B">
        <w:rPr>
          <w:rFonts w:eastAsia="Times New Roman" w:cs="Times New Roman"/>
          <w:szCs w:val="28"/>
        </w:rPr>
        <w:t xml:space="preserve"> Белыничского района приехали </w:t>
      </w:r>
      <w:proofErr w:type="spellStart"/>
      <w:r w:rsidRPr="0070777B">
        <w:rPr>
          <w:rFonts w:eastAsia="Times New Roman" w:cs="Times New Roman"/>
          <w:szCs w:val="28"/>
        </w:rPr>
        <w:t>могилевчане</w:t>
      </w:r>
      <w:proofErr w:type="spellEnd"/>
      <w:r w:rsidRPr="0070777B">
        <w:rPr>
          <w:rFonts w:eastAsia="Times New Roman" w:cs="Times New Roman"/>
          <w:szCs w:val="28"/>
        </w:rPr>
        <w:t xml:space="preserve">. 4 февраля днём им понадобилось срочно вернуться в Могилёв, и, уезжая, они оставили </w:t>
      </w:r>
      <w:r w:rsidRPr="0070777B">
        <w:rPr>
          <w:rFonts w:eastAsia="Times New Roman" w:cs="Times New Roman"/>
          <w:szCs w:val="28"/>
        </w:rPr>
        <w:lastRenderedPageBreak/>
        <w:t xml:space="preserve">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Иногда последствия печных пожаров нельзя исправить ремонтом или постройкой нового жилья.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14 января в 20-19 в службу МЧС позвонил взволнованный мужчина и сообщил, что </w:t>
      </w:r>
      <w:r w:rsidRPr="0070777B">
        <w:rPr>
          <w:rFonts w:eastAsia="Times New Roman" w:cs="Times New Roman"/>
          <w:color w:val="000000"/>
          <w:szCs w:val="28"/>
        </w:rPr>
        <w:t xml:space="preserve">по ул. Красноармейской в Чаусах горит жилой дом, в котором находится его пожилая тёща. </w:t>
      </w:r>
      <w:r w:rsidRPr="0070777B">
        <w:rPr>
          <w:rFonts w:cs="Times New Roman"/>
          <w:color w:val="000000"/>
          <w:szCs w:val="28"/>
        </w:rPr>
        <w:t>П</w:t>
      </w:r>
      <w:r w:rsidRPr="0070777B">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0777B">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0777B">
        <w:rPr>
          <w:rFonts w:cs="Times New Roman"/>
          <w:szCs w:val="28"/>
        </w:rPr>
        <w:t xml:space="preserve">протопила печь, принесла дров и, оставив их у зольника, </w:t>
      </w:r>
      <w:r w:rsidRPr="0070777B">
        <w:rPr>
          <w:rFonts w:eastAsia="Times New Roman" w:cs="Times New Roman"/>
          <w:szCs w:val="28"/>
        </w:rPr>
        <w:t xml:space="preserve">ушла домой. </w:t>
      </w:r>
      <w:bookmarkStart w:id="2" w:name="_GoBack"/>
      <w:bookmarkEnd w:id="2"/>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cs="Times New Roman"/>
          <w:b/>
          <w:szCs w:val="28"/>
        </w:rPr>
        <w:t xml:space="preserve">Пример: </w:t>
      </w:r>
      <w:r w:rsidRPr="0070777B">
        <w:rPr>
          <w:rFonts w:eastAsia="Times New Roman" w:cs="Times New Roman"/>
          <w:szCs w:val="28"/>
        </w:rPr>
        <w:t xml:space="preserve">Жертвой огня стал 37-летний житель </w:t>
      </w:r>
      <w:r w:rsidRPr="0070777B">
        <w:rPr>
          <w:rFonts w:eastAsia="Times New Roman" w:cs="Times New Roman"/>
          <w:color w:val="000000"/>
          <w:szCs w:val="28"/>
        </w:rPr>
        <w:t xml:space="preserve">д. Новая Добосна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0777B">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cs="Times New Roman"/>
          <w:b/>
          <w:szCs w:val="28"/>
        </w:rPr>
        <w:t xml:space="preserve">Чтобы тепло домашнего очага было безопасным, необходимо: </w:t>
      </w:r>
    </w:p>
    <w:p w:rsidR="0012445B" w:rsidRPr="0070777B" w:rsidRDefault="0012445B" w:rsidP="0012445B">
      <w:pPr>
        <w:pStyle w:val="a8"/>
        <w:spacing w:after="0" w:line="240" w:lineRule="auto"/>
        <w:ind w:left="0" w:firstLine="567"/>
        <w:jc w:val="both"/>
        <w:rPr>
          <w:rFonts w:cs="Times New Roman"/>
          <w:b/>
          <w:szCs w:val="28"/>
        </w:rPr>
      </w:pPr>
      <w:r w:rsidRPr="0070777B">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Золу, шлак, уголь следует удалять в специально отведенное место, подальше от сгораемых строений;</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перекаливайте печь. Замените продолжительную топку 2-3 </w:t>
      </w:r>
      <w:proofErr w:type="spellStart"/>
      <w:r w:rsidRPr="0070777B">
        <w:rPr>
          <w:rFonts w:cs="Times New Roman"/>
          <w:szCs w:val="28"/>
        </w:rPr>
        <w:t>протапливаниями</w:t>
      </w:r>
      <w:proofErr w:type="spellEnd"/>
      <w:r w:rsidRPr="0070777B">
        <w:rPr>
          <w:rFonts w:cs="Times New Roman"/>
          <w:szCs w:val="28"/>
        </w:rPr>
        <w:t xml:space="preserve"> в день.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оставляйте без присмотра топящиеся печи и не доверяйте топку детям.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Во избежание отравления угарным газом, не закрывайте заслонку печи, пока угли полностью не прогорят.</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lastRenderedPageBreak/>
        <w:t>Неосторожное обращение с огнём.</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eastAsia="MS Mincho"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color w:val="000000"/>
          <w:szCs w:val="28"/>
        </w:rPr>
        <w:t xml:space="preserve">1 января </w:t>
      </w:r>
      <w:r w:rsidRPr="0070777B">
        <w:rPr>
          <w:rFonts w:cs="Times New Roman"/>
          <w:color w:val="000000"/>
          <w:szCs w:val="28"/>
        </w:rPr>
        <w:t xml:space="preserve">вечером </w:t>
      </w:r>
      <w:r w:rsidRPr="0070777B">
        <w:rPr>
          <w:rFonts w:eastAsia="Times New Roman" w:cs="Times New Roman"/>
          <w:color w:val="000000"/>
          <w:szCs w:val="28"/>
        </w:rPr>
        <w:t xml:space="preserve">от соседей поступило сообщение о пожаре жилого дома в </w:t>
      </w:r>
      <w:proofErr w:type="spellStart"/>
      <w:r w:rsidRPr="0070777B">
        <w:rPr>
          <w:rFonts w:eastAsia="Times New Roman" w:cs="Times New Roman"/>
          <w:color w:val="000000"/>
          <w:szCs w:val="28"/>
        </w:rPr>
        <w:t>д.Турки</w:t>
      </w:r>
      <w:proofErr w:type="spellEnd"/>
      <w:r w:rsidRPr="0070777B">
        <w:rPr>
          <w:rFonts w:eastAsia="Times New Roman" w:cs="Times New Roman"/>
          <w:color w:val="000000"/>
          <w:szCs w:val="28"/>
        </w:rPr>
        <w:t xml:space="preserve"> Бобруйского района. Дом горел открытым пламенем. </w:t>
      </w:r>
      <w:r w:rsidRPr="0070777B">
        <w:rPr>
          <w:rFonts w:cs="Times New Roman"/>
          <w:color w:val="000000"/>
          <w:szCs w:val="28"/>
        </w:rPr>
        <w:t>В</w:t>
      </w:r>
      <w:r w:rsidRPr="0070777B">
        <w:rPr>
          <w:rFonts w:eastAsia="Times New Roman" w:cs="Times New Roman"/>
          <w:szCs w:val="28"/>
        </w:rPr>
        <w:t xml:space="preserve"> горящей комнате </w:t>
      </w:r>
      <w:r w:rsidRPr="0070777B">
        <w:rPr>
          <w:rFonts w:cs="Times New Roman"/>
          <w:szCs w:val="28"/>
        </w:rPr>
        <w:t xml:space="preserve">спасатели обнаружили двоих </w:t>
      </w:r>
      <w:r w:rsidRPr="0070777B">
        <w:rPr>
          <w:rFonts w:eastAsia="Times New Roman" w:cs="Times New Roman"/>
          <w:szCs w:val="28"/>
        </w:rPr>
        <w:t xml:space="preserve">погибших: </w:t>
      </w:r>
      <w:r w:rsidRPr="0070777B">
        <w:rPr>
          <w:rFonts w:cs="Times New Roman"/>
          <w:szCs w:val="28"/>
        </w:rPr>
        <w:t>51-летнего</w:t>
      </w:r>
      <w:r w:rsidRPr="0070777B">
        <w:rPr>
          <w:rFonts w:eastAsia="Times New Roman" w:cs="Times New Roman"/>
          <w:szCs w:val="28"/>
        </w:rPr>
        <w:t xml:space="preserve"> хозяин</w:t>
      </w:r>
      <w:r w:rsidRPr="0070777B">
        <w:rPr>
          <w:rFonts w:cs="Times New Roman"/>
          <w:szCs w:val="28"/>
        </w:rPr>
        <w:t>а</w:t>
      </w:r>
      <w:r w:rsidRPr="0070777B">
        <w:rPr>
          <w:rFonts w:eastAsia="Times New Roman" w:cs="Times New Roman"/>
          <w:szCs w:val="28"/>
        </w:rPr>
        <w:t xml:space="preserve"> и </w:t>
      </w:r>
      <w:r w:rsidRPr="0070777B">
        <w:rPr>
          <w:rFonts w:cs="Times New Roman"/>
          <w:szCs w:val="28"/>
        </w:rPr>
        <w:t>его 33 – летнюю</w:t>
      </w:r>
      <w:r w:rsidRPr="0070777B">
        <w:rPr>
          <w:rFonts w:eastAsia="Times New Roman" w:cs="Times New Roman"/>
          <w:szCs w:val="28"/>
        </w:rPr>
        <w:t xml:space="preserve"> гость</w:t>
      </w:r>
      <w:r w:rsidRPr="0070777B">
        <w:rPr>
          <w:rFonts w:cs="Times New Roman"/>
          <w:szCs w:val="28"/>
        </w:rPr>
        <w:t>ю</w:t>
      </w:r>
      <w:r w:rsidRPr="0070777B">
        <w:rPr>
          <w:rFonts w:eastAsia="Times New Roman" w:cs="Times New Roman"/>
          <w:szCs w:val="28"/>
        </w:rPr>
        <w:t>, жительниц</w:t>
      </w:r>
      <w:r w:rsidRPr="0070777B">
        <w:rPr>
          <w:rFonts w:cs="Times New Roman"/>
          <w:szCs w:val="28"/>
        </w:rPr>
        <w:t>у соседней деревни</w:t>
      </w:r>
      <w:r w:rsidRPr="0070777B">
        <w:rPr>
          <w:rFonts w:eastAsia="Times New Roman" w:cs="Times New Roman"/>
          <w:szCs w:val="28"/>
        </w:rPr>
        <w:t xml:space="preserve">. Как выяснилось, накануне произошедшего погибший вернулся </w:t>
      </w:r>
      <w:r w:rsidRPr="0070777B">
        <w:rPr>
          <w:rFonts w:cs="Times New Roman"/>
          <w:szCs w:val="28"/>
        </w:rPr>
        <w:t xml:space="preserve">с заработков </w:t>
      </w:r>
      <w:r w:rsidRPr="0070777B">
        <w:rPr>
          <w:rFonts w:eastAsia="Times New Roman" w:cs="Times New Roman"/>
          <w:szCs w:val="28"/>
        </w:rPr>
        <w:t xml:space="preserve">из России.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7 января </w:t>
      </w:r>
      <w:r w:rsidRPr="0070777B">
        <w:rPr>
          <w:rFonts w:cs="Times New Roman"/>
          <w:szCs w:val="28"/>
        </w:rPr>
        <w:t xml:space="preserve">вечером </w:t>
      </w:r>
      <w:r w:rsidRPr="0070777B">
        <w:rPr>
          <w:rFonts w:eastAsia="Times New Roman" w:cs="Times New Roman"/>
          <w:szCs w:val="28"/>
        </w:rPr>
        <w:t xml:space="preserve">бобруйским спасателям поступило сообщение </w:t>
      </w:r>
      <w:r w:rsidRPr="0070777B">
        <w:rPr>
          <w:rFonts w:cs="Times New Roman"/>
          <w:szCs w:val="28"/>
        </w:rPr>
        <w:t xml:space="preserve">об открытом горении частного </w:t>
      </w:r>
      <w:r w:rsidRPr="0070777B">
        <w:rPr>
          <w:rFonts w:eastAsia="Times New Roman" w:cs="Times New Roman"/>
          <w:color w:val="000000"/>
          <w:szCs w:val="28"/>
        </w:rPr>
        <w:t xml:space="preserve">жилого дома в </w:t>
      </w:r>
      <w:proofErr w:type="spellStart"/>
      <w:r w:rsidRPr="0070777B">
        <w:rPr>
          <w:rFonts w:eastAsia="Times New Roman" w:cs="Times New Roman"/>
          <w:color w:val="000000"/>
          <w:szCs w:val="28"/>
        </w:rPr>
        <w:t>д.Лоси</w:t>
      </w:r>
      <w:proofErr w:type="spellEnd"/>
      <w:r w:rsidRPr="0070777B">
        <w:rPr>
          <w:rFonts w:cs="Times New Roman"/>
          <w:color w:val="000000"/>
          <w:szCs w:val="28"/>
        </w:rPr>
        <w:t xml:space="preserve">. </w:t>
      </w:r>
      <w:r w:rsidRPr="0070777B">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0777B">
        <w:rPr>
          <w:rFonts w:eastAsia="Times New Roman" w:cs="Times New Roman"/>
          <w:color w:val="000000"/>
          <w:szCs w:val="28"/>
        </w:rPr>
        <w:t xml:space="preserve"> </w:t>
      </w:r>
      <w:r w:rsidRPr="0070777B">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eastAsia="Times New Roman" w:cs="Times New Roman"/>
          <w:color w:val="000000"/>
          <w:szCs w:val="28"/>
        </w:rPr>
        <w:t xml:space="preserve">13 января </w:t>
      </w:r>
      <w:r w:rsidRPr="0070777B">
        <w:rPr>
          <w:rFonts w:cs="Times New Roman"/>
          <w:color w:val="000000"/>
          <w:szCs w:val="28"/>
        </w:rPr>
        <w:t xml:space="preserve">ночью </w:t>
      </w:r>
      <w:r w:rsidRPr="0070777B">
        <w:rPr>
          <w:rFonts w:eastAsia="Times New Roman" w:cs="Times New Roman"/>
          <w:color w:val="000000"/>
          <w:szCs w:val="28"/>
        </w:rPr>
        <w:t xml:space="preserve">в службу МЧС </w:t>
      </w:r>
      <w:r w:rsidRPr="0070777B">
        <w:rPr>
          <w:rFonts w:eastAsia="Times New Roman" w:cs="Times New Roman"/>
          <w:szCs w:val="28"/>
        </w:rPr>
        <w:t xml:space="preserve">поступило сообщение о пожаре частного жилого дома в </w:t>
      </w:r>
      <w:r w:rsidRPr="0070777B">
        <w:rPr>
          <w:rFonts w:eastAsia="Times New Roman" w:cs="Times New Roman"/>
          <w:color w:val="000000"/>
          <w:szCs w:val="28"/>
        </w:rPr>
        <w:t xml:space="preserve">д. </w:t>
      </w:r>
      <w:proofErr w:type="spellStart"/>
      <w:r w:rsidRPr="0070777B">
        <w:rPr>
          <w:rFonts w:eastAsia="Times New Roman" w:cs="Times New Roman"/>
          <w:color w:val="000000"/>
          <w:szCs w:val="28"/>
        </w:rPr>
        <w:t>Корытница</w:t>
      </w:r>
      <w:proofErr w:type="spellEnd"/>
      <w:r w:rsidRPr="0070777B">
        <w:rPr>
          <w:rFonts w:eastAsia="Times New Roman" w:cs="Times New Roman"/>
          <w:color w:val="000000"/>
          <w:szCs w:val="28"/>
        </w:rPr>
        <w:t xml:space="preserve"> Белыничского района. Дом горел открытым пламенем. В условиях высокой температуры и сильного 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0777B">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0777B">
        <w:rPr>
          <w:rFonts w:cs="Times New Roman"/>
          <w:color w:val="000000"/>
          <w:szCs w:val="28"/>
          <w:shd w:val="clear" w:color="auto" w:fill="FFFFFF"/>
        </w:rPr>
        <w:t xml:space="preserve">дом запылал. </w:t>
      </w:r>
      <w:r w:rsidRPr="0070777B">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0777B" w:rsidRDefault="0012445B" w:rsidP="0012445B">
      <w:pPr>
        <w:spacing w:after="0" w:line="240" w:lineRule="auto"/>
        <w:ind w:firstLine="567"/>
        <w:jc w:val="both"/>
        <w:rPr>
          <w:rFonts w:eastAsia="Times New Roman" w:cs="Times New Roman"/>
          <w:bCs/>
          <w:color w:val="000000"/>
          <w:szCs w:val="28"/>
        </w:rPr>
      </w:pPr>
      <w:r w:rsidRPr="0070777B">
        <w:rPr>
          <w:rFonts w:cs="Times New Roman"/>
          <w:b/>
          <w:szCs w:val="28"/>
        </w:rPr>
        <w:t>Пример:</w:t>
      </w:r>
      <w:r w:rsidRPr="0070777B">
        <w:rPr>
          <w:rFonts w:eastAsia="Times New Roman" w:cs="Times New Roman"/>
          <w:color w:val="000000"/>
          <w:szCs w:val="28"/>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r w:rsidRPr="0070777B">
        <w:rPr>
          <w:rFonts w:eastAsia="Times New Roman" w:cs="Times New Roman"/>
          <w:bCs/>
          <w:color w:val="000000"/>
          <w:szCs w:val="28"/>
        </w:rPr>
        <w:t xml:space="preserve">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eastAsia="Times New Roman" w:cs="Times New Roman"/>
          <w:bCs/>
          <w:color w:val="000000"/>
          <w:szCs w:val="2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70777B">
        <w:rPr>
          <w:rFonts w:eastAsia="Times New Roman" w:cs="Times New Roman"/>
          <w:color w:val="000000"/>
          <w:szCs w:val="2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0777B">
        <w:rPr>
          <w:rFonts w:cs="Times New Roman"/>
          <w:color w:val="000000"/>
          <w:szCs w:val="28"/>
        </w:rPr>
        <w:t xml:space="preserve">И </w:t>
      </w:r>
      <w:r w:rsidRPr="0070777B">
        <w:rPr>
          <w:rFonts w:eastAsia="Times New Roman" w:cs="Times New Roman"/>
          <w:color w:val="000000"/>
          <w:szCs w:val="28"/>
        </w:rPr>
        <w:t xml:space="preserve">это промедление стоило женщине жизни. Хозяин получил ожоги 15 % тела.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w:t>
      </w:r>
      <w:r w:rsidRPr="0070777B">
        <w:rPr>
          <w:rFonts w:eastAsia="Times New Roman" w:cs="Times New Roman"/>
          <w:szCs w:val="28"/>
        </w:rPr>
        <w:lastRenderedPageBreak/>
        <w:t xml:space="preserve">учиться не на чужих, а на собственных ошибках. Вот только цена таких ошибок слишком велика. </w:t>
      </w:r>
    </w:p>
    <w:p w:rsidR="0012445B" w:rsidRPr="0070777B" w:rsidRDefault="0012445B" w:rsidP="0010303E">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Электробезопасность.</w:t>
      </w:r>
    </w:p>
    <w:p w:rsidR="0012445B" w:rsidRPr="0070777B" w:rsidRDefault="0012445B" w:rsidP="0012445B">
      <w:pPr>
        <w:pStyle w:val="af9"/>
        <w:ind w:firstLine="567"/>
        <w:jc w:val="both"/>
        <w:rPr>
          <w:rFonts w:ascii="Times New Roman" w:hAnsi="Times New Roman" w:cs="Times New Roman"/>
          <w:sz w:val="28"/>
          <w:szCs w:val="28"/>
          <w:shd w:val="clear" w:color="auto" w:fill="FFFFFF"/>
        </w:rPr>
      </w:pPr>
      <w:r w:rsidRPr="0070777B">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 xml:space="preserve">Совсем не праздничным стал Старый Новый год для жильцов девятиэтажного жилого дома по ул. </w:t>
      </w:r>
      <w:proofErr w:type="gramStart"/>
      <w:r w:rsidRPr="0070777B">
        <w:rPr>
          <w:rFonts w:eastAsia="Times New Roman" w:cs="Times New Roman"/>
          <w:szCs w:val="28"/>
        </w:rPr>
        <w:t>Октябрьской</w:t>
      </w:r>
      <w:proofErr w:type="gramEnd"/>
      <w:r w:rsidRPr="0070777B">
        <w:rPr>
          <w:rFonts w:eastAsia="Times New Roman" w:cs="Times New Roman"/>
          <w:szCs w:val="28"/>
        </w:rPr>
        <w:t xml:space="preserve">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0777B" w:rsidRDefault="0012445B" w:rsidP="0012445B">
      <w:pPr>
        <w:tabs>
          <w:tab w:val="left" w:pos="9540"/>
        </w:tabs>
        <w:spacing w:after="0" w:line="240" w:lineRule="auto"/>
        <w:ind w:firstLine="567"/>
        <w:jc w:val="both"/>
        <w:rPr>
          <w:rFonts w:cs="Times New Roman"/>
          <w:szCs w:val="28"/>
        </w:rPr>
      </w:pPr>
      <w:r w:rsidRPr="0070777B">
        <w:rPr>
          <w:rFonts w:cs="Times New Roman"/>
          <w:b/>
          <w:szCs w:val="28"/>
        </w:rPr>
        <w:t xml:space="preserve">Пример: </w:t>
      </w:r>
      <w:r w:rsidRPr="0070777B">
        <w:rPr>
          <w:rFonts w:cs="Times New Roman"/>
          <w:szCs w:val="28"/>
        </w:rPr>
        <w:t xml:space="preserve">29 января около полуночи в службу МЧС Бобруйска позвонили встревоженные жильцы пятиэтажного жилого дома по р-ту </w:t>
      </w:r>
      <w:proofErr w:type="spellStart"/>
      <w:r w:rsidRPr="0070777B">
        <w:rPr>
          <w:rFonts w:cs="Times New Roman"/>
          <w:szCs w:val="28"/>
        </w:rPr>
        <w:t>Геогриевскому</w:t>
      </w:r>
      <w:proofErr w:type="spellEnd"/>
      <w:r w:rsidRPr="0070777B">
        <w:rPr>
          <w:rFonts w:cs="Times New Roman"/>
          <w:szCs w:val="28"/>
        </w:rPr>
        <w:t xml:space="preserve">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eastAsia="Times New Roman" w:cs="Times New Roman"/>
          <w:szCs w:val="28"/>
        </w:rPr>
        <w:t xml:space="preserve">Для того, чтобы не подсчитывать убытки после прохождения огненной стихии, </w:t>
      </w:r>
      <w:r w:rsidRPr="0070777B">
        <w:rPr>
          <w:rFonts w:eastAsia="Times New Roman" w:cs="Times New Roman"/>
          <w:b/>
          <w:szCs w:val="28"/>
        </w:rPr>
        <w:t>проверьте исправность электрооборудования</w:t>
      </w:r>
      <w:r w:rsidRPr="0070777B">
        <w:rPr>
          <w:rFonts w:eastAsia="Times New Roman" w:cs="Times New Roman"/>
          <w:szCs w:val="28"/>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0777B" w:rsidRDefault="0012445B" w:rsidP="0012445B">
      <w:pPr>
        <w:tabs>
          <w:tab w:val="left" w:pos="0"/>
        </w:tabs>
        <w:spacing w:after="0" w:line="240" w:lineRule="auto"/>
        <w:ind w:firstLine="567"/>
        <w:jc w:val="both"/>
        <w:rPr>
          <w:rFonts w:eastAsia="Times New Roman" w:cs="Times New Roman"/>
          <w:b/>
          <w:szCs w:val="28"/>
        </w:rPr>
      </w:pPr>
      <w:r w:rsidRPr="0070777B">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Автономный пожарный извещатель.</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eastAsia="Times New Roman" w:cs="Times New Roman"/>
          <w:szCs w:val="28"/>
        </w:rPr>
        <w:lastRenderedPageBreak/>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0777B">
        <w:rPr>
          <w:rFonts w:eastAsia="Times New Roman" w:cs="Times New Roman"/>
          <w:b/>
          <w:szCs w:val="28"/>
        </w:rPr>
        <w:t xml:space="preserve"> </w:t>
      </w:r>
      <w:r w:rsidRPr="0070777B">
        <w:rPr>
          <w:rFonts w:cs="Times New Roman"/>
          <w:szCs w:val="28"/>
        </w:rPr>
        <w:t>(далее АПИ)</w:t>
      </w:r>
      <w:r w:rsidRPr="0070777B">
        <w:rPr>
          <w:rFonts w:eastAsia="Times New Roman" w:cs="Times New Roman"/>
          <w:szCs w:val="28"/>
        </w:rPr>
        <w:t>.</w:t>
      </w:r>
      <w:r w:rsidRPr="0070777B">
        <w:rPr>
          <w:rFonts w:eastAsia="Times New Roman" w:cs="Times New Roman"/>
          <w:b/>
          <w:szCs w:val="28"/>
        </w:rPr>
        <w:t xml:space="preserve"> </w:t>
      </w:r>
      <w:r w:rsidR="0010303E" w:rsidRPr="0070777B">
        <w:rPr>
          <w:rFonts w:cs="Times New Roman"/>
          <w:szCs w:val="28"/>
        </w:rPr>
        <w:t>АПИ,</w:t>
      </w:r>
      <w:r w:rsidRPr="0070777B">
        <w:rPr>
          <w:rFonts w:cs="Times New Roman"/>
          <w:szCs w:val="28"/>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445B" w:rsidRPr="0070777B" w:rsidRDefault="0012445B" w:rsidP="0010303E">
      <w:pPr>
        <w:spacing w:after="0" w:line="240" w:lineRule="auto"/>
        <w:ind w:firstLine="567"/>
        <w:jc w:val="both"/>
        <w:rPr>
          <w:rFonts w:cs="Times New Roman"/>
          <w:b/>
          <w:szCs w:val="28"/>
        </w:rPr>
      </w:pPr>
      <w:r w:rsidRPr="0070777B">
        <w:rPr>
          <w:rFonts w:cs="Times New Roman"/>
          <w:b/>
          <w:szCs w:val="28"/>
        </w:rPr>
        <w:t>В 2023 году в Республике благодаря АПИ спасено 67 человек, в том числе 17 детей. В Могилевской области спасено 7 человек, в том числе 1 ребёнок.</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наступившем году АПИ уже также доказал свою эффективность.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0777B">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rsidR="0012445B" w:rsidRPr="0070777B" w:rsidRDefault="0012445B" w:rsidP="0012445B">
      <w:pPr>
        <w:shd w:val="clear" w:color="auto" w:fill="FFFFFF"/>
        <w:spacing w:after="0" w:line="240" w:lineRule="auto"/>
        <w:ind w:firstLine="567"/>
        <w:jc w:val="both"/>
        <w:rPr>
          <w:rFonts w:cs="Times New Roman"/>
          <w:szCs w:val="28"/>
        </w:rPr>
      </w:pPr>
      <w:r w:rsidRPr="0070777B">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Лёд.</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70777B">
        <w:rPr>
          <w:rFonts w:cs="Times New Roman"/>
          <w:szCs w:val="28"/>
        </w:rPr>
        <w:t>— это</w:t>
      </w:r>
      <w:r w:rsidRPr="0070777B">
        <w:rPr>
          <w:rFonts w:cs="Times New Roman"/>
          <w:szCs w:val="28"/>
        </w:rPr>
        <w:t xml:space="preserve"> потенциальный источник опасности, который может привести к трагедии.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 xml:space="preserve">21 ноября очевидцы сообщили спасателям, что в озере </w:t>
      </w:r>
      <w:proofErr w:type="spellStart"/>
      <w:r w:rsidRPr="0070777B">
        <w:rPr>
          <w:rFonts w:eastAsia="Times New Roman" w:cs="Times New Roman"/>
          <w:szCs w:val="28"/>
        </w:rPr>
        <w:t>Маславичи</w:t>
      </w:r>
      <w:proofErr w:type="spellEnd"/>
      <w:r w:rsidRPr="0070777B">
        <w:rPr>
          <w:rFonts w:eastAsia="Times New Roman" w:cs="Times New Roman"/>
          <w:szCs w:val="28"/>
        </w:rPr>
        <w:t xml:space="preserve">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 xml:space="preserve">Днем 27 ноября в реке Березина под Речицей обнаружили утонувшим 80-летнего жителя Светлогорска. Трое мужчин приехали на </w:t>
      </w:r>
      <w:r w:rsidRPr="0070777B">
        <w:rPr>
          <w:rFonts w:eastAsia="Times New Roman" w:cs="Times New Roman"/>
          <w:szCs w:val="28"/>
        </w:rPr>
        <w:lastRenderedPageBreak/>
        <w:t>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0777B">
        <w:rPr>
          <w:rFonts w:cs="Times New Roman"/>
          <w:bCs/>
          <w:color w:val="222222"/>
          <w:szCs w:val="28"/>
          <w:shd w:val="clear" w:color="auto" w:fill="FFFFFF"/>
        </w:rPr>
        <w:t> </w:t>
      </w:r>
      <w:r w:rsidRPr="0070777B">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rsidR="0012445B" w:rsidRPr="0070777B" w:rsidRDefault="0012445B" w:rsidP="0012445B">
      <w:pPr>
        <w:spacing w:after="0" w:line="240" w:lineRule="auto"/>
        <w:ind w:firstLine="567"/>
        <w:jc w:val="both"/>
        <w:rPr>
          <w:rFonts w:eastAsia="Times New Roman" w:cs="Times New Roman"/>
          <w:szCs w:val="28"/>
        </w:rPr>
      </w:pPr>
      <w:r w:rsidRPr="0070777B">
        <w:rPr>
          <w:rStyle w:val="af5"/>
          <w:rFonts w:eastAsia="Times New Roman" w:cs="Times New Roman"/>
          <w:szCs w:val="28"/>
        </w:rPr>
        <w:t xml:space="preserve">Во избежание ЧС, усильте контроль за своими детьми, постоянно отслеживайте их местонахождение, </w:t>
      </w:r>
      <w:r w:rsidRPr="0070777B">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12445B" w:rsidRPr="00E82D90" w:rsidRDefault="0012445B" w:rsidP="0012445B">
      <w:pPr>
        <w:spacing w:after="0" w:line="240" w:lineRule="auto"/>
        <w:ind w:firstLine="567"/>
        <w:jc w:val="both"/>
        <w:rPr>
          <w:rFonts w:cs="Times New Roman"/>
          <w:szCs w:val="28"/>
          <w:shd w:val="clear" w:color="auto" w:fill="FFFFFF"/>
        </w:rPr>
      </w:pPr>
    </w:p>
    <w:sectPr w:rsidR="0012445B" w:rsidRPr="00E82D90"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A1" w:rsidRDefault="00B210A1" w:rsidP="008D6350">
      <w:pPr>
        <w:spacing w:after="0" w:line="240" w:lineRule="auto"/>
      </w:pPr>
      <w:r>
        <w:separator/>
      </w:r>
    </w:p>
  </w:endnote>
  <w:endnote w:type="continuationSeparator" w:id="0">
    <w:p w:rsidR="00B210A1" w:rsidRDefault="00B210A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A1" w:rsidRDefault="00B210A1" w:rsidP="008D6350">
      <w:pPr>
        <w:spacing w:after="0" w:line="240" w:lineRule="auto"/>
      </w:pPr>
      <w:r>
        <w:separator/>
      </w:r>
    </w:p>
  </w:footnote>
  <w:footnote w:type="continuationSeparator" w:id="0">
    <w:p w:rsidR="00B210A1" w:rsidRDefault="00B210A1"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B44453">
          <w:rPr>
            <w:noProof/>
          </w:rPr>
          <w:t>32</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4"/>
  </w:num>
  <w:num w:numId="6">
    <w:abstractNumId w:val="21"/>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6"/>
  </w:num>
  <w:num w:numId="13">
    <w:abstractNumId w:val="8"/>
  </w:num>
  <w:num w:numId="14">
    <w:abstractNumId w:val="5"/>
  </w:num>
  <w:num w:numId="15">
    <w:abstractNumId w:val="1"/>
  </w:num>
  <w:num w:numId="16">
    <w:abstractNumId w:val="7"/>
  </w:num>
  <w:num w:numId="17">
    <w:abstractNumId w:val="20"/>
  </w:num>
  <w:num w:numId="18">
    <w:abstractNumId w:val="12"/>
  </w:num>
  <w:num w:numId="19">
    <w:abstractNumId w:val="11"/>
  </w:num>
  <w:num w:numId="20">
    <w:abstractNumId w:val="1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16FE0"/>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52E25"/>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D1A78"/>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0A1"/>
    <w:rsid w:val="00B21E26"/>
    <w:rsid w:val="00B23987"/>
    <w:rsid w:val="00B24445"/>
    <w:rsid w:val="00B41672"/>
    <w:rsid w:val="00B4253D"/>
    <w:rsid w:val="00B44453"/>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0506C"/>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idcentr.csgpb.by/v-pomoshh-ideologu/dni-informirovani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36</Pages>
  <Words>12160</Words>
  <Characters>69318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3</cp:revision>
  <cp:lastPrinted>2024-02-13T06:13:00Z</cp:lastPrinted>
  <dcterms:created xsi:type="dcterms:W3CDTF">2024-02-12T14:33:00Z</dcterms:created>
  <dcterms:modified xsi:type="dcterms:W3CDTF">2024-02-13T06:21:00Z</dcterms:modified>
</cp:coreProperties>
</file>