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B" w:rsidRPr="00C31213" w:rsidRDefault="00CD7162" w:rsidP="002D5617">
      <w:pPr>
        <w:shd w:val="clear" w:color="auto" w:fill="FFFFFF"/>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Информационные материалы </w:t>
      </w:r>
      <w:r w:rsidR="00C5635B" w:rsidRPr="00C31213">
        <w:rPr>
          <w:rFonts w:ascii="Times New Roman" w:eastAsia="Times New Roman" w:hAnsi="Times New Roman" w:cs="Times New Roman"/>
          <w:color w:val="000000" w:themeColor="text1"/>
          <w:sz w:val="30"/>
          <w:szCs w:val="30"/>
          <w:lang w:eastAsia="ru-RU"/>
        </w:rPr>
        <w:t>к Всемирному дню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w:t>
      </w:r>
      <w:r w:rsidR="00361349">
        <w:rPr>
          <w:rFonts w:ascii="Times New Roman" w:eastAsia="Times New Roman" w:hAnsi="Times New Roman" w:cs="Times New Roman"/>
          <w:color w:val="000000" w:themeColor="text1"/>
          <w:sz w:val="30"/>
          <w:szCs w:val="30"/>
          <w:shd w:val="clear" w:color="auto" w:fill="FFFFFF"/>
          <w:lang w:eastAsia="ru-RU"/>
        </w:rPr>
        <w:t xml:space="preserve"> </w:t>
      </w:r>
      <w:r w:rsidRPr="00C31213">
        <w:rPr>
          <w:rFonts w:ascii="Times New Roman" w:eastAsia="Times New Roman" w:hAnsi="Times New Roman" w:cs="Times New Roman"/>
          <w:color w:val="000000" w:themeColor="text1"/>
          <w:sz w:val="30"/>
          <w:szCs w:val="30"/>
          <w:shd w:val="clear" w:color="auto" w:fill="FFFFFF"/>
          <w:lang w:eastAsia="ru-RU"/>
        </w:rPr>
        <w:t>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lastRenderedPageBreak/>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К основополагающим правам граждан,</w:t>
      </w:r>
      <w:r w:rsidR="00361349">
        <w:rPr>
          <w:rFonts w:ascii="Times New Roman" w:eastAsia="Times New Roman" w:hAnsi="Times New Roman" w:cs="Times New Roman"/>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гарантированным Конституцией Республики Беларусь,</w:t>
      </w:r>
      <w:r w:rsidR="00361349">
        <w:rPr>
          <w:rFonts w:ascii="Times New Roman" w:eastAsia="Times New Roman" w:hAnsi="Times New Roman" w:cs="Times New Roman"/>
          <w:bCs/>
          <w:color w:val="000000" w:themeColor="text1"/>
          <w:sz w:val="30"/>
          <w:szCs w:val="30"/>
          <w:shd w:val="clear" w:color="auto" w:fill="FFFFFF"/>
          <w:lang w:eastAsia="ru-RU"/>
        </w:rPr>
        <w:t xml:space="preserve"> </w:t>
      </w:r>
      <w:r w:rsidRPr="00603C91">
        <w:rPr>
          <w:rFonts w:ascii="Times New Roman" w:eastAsia="Times New Roman" w:hAnsi="Times New Roman" w:cs="Times New Roman"/>
          <w:bCs/>
          <w:color w:val="000000" w:themeColor="text1"/>
          <w:sz w:val="30"/>
          <w:szCs w:val="30"/>
          <w:shd w:val="clear" w:color="auto" w:fill="FFFFFF"/>
          <w:lang w:eastAsia="ru-RU"/>
        </w:rPr>
        <w:t xml:space="preserve">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рассмотрения и внесения предложений. Представители профсоюзов привлекались к подготовке и доработке законопроекта «О внесении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w:t>
      </w:r>
      <w:r w:rsidR="00361349">
        <w:rPr>
          <w:rFonts w:ascii="Times New Roman" w:eastAsia="Times New Roman" w:hAnsi="Times New Roman" w:cs="Times New Roman"/>
          <w:color w:val="000000" w:themeColor="text1"/>
          <w:sz w:val="30"/>
          <w:szCs w:val="30"/>
          <w:shd w:val="clear" w:color="auto" w:fill="FFFFFF"/>
          <w:lang w:eastAsia="ru-RU"/>
        </w:rPr>
        <w:t xml:space="preserve"> </w:t>
      </w:r>
      <w:r w:rsidRPr="00092D65">
        <w:rPr>
          <w:rFonts w:ascii="Times New Roman" w:eastAsia="Times New Roman" w:hAnsi="Times New Roman" w:cs="Times New Roman"/>
          <w:color w:val="000000" w:themeColor="text1"/>
          <w:sz w:val="30"/>
          <w:szCs w:val="30"/>
          <w:shd w:val="clear" w:color="auto" w:fill="FFFFFF"/>
          <w:lang w:eastAsia="ru-RU"/>
        </w:rPr>
        <w:t>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lastRenderedPageBreak/>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w:t>
      </w:r>
      <w:r w:rsidRPr="0071504A">
        <w:rPr>
          <w:rFonts w:ascii="Times New Roman" w:eastAsia="Times New Roman" w:hAnsi="Times New Roman" w:cs="Times New Roman"/>
          <w:color w:val="000000" w:themeColor="text1"/>
          <w:sz w:val="30"/>
          <w:szCs w:val="30"/>
          <w:shd w:val="clear" w:color="auto" w:fill="FFFFFF"/>
          <w:lang w:eastAsia="ru-RU"/>
        </w:rPr>
        <w:lastRenderedPageBreak/>
        <w:t>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Бешенковичском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00361349">
        <w:rPr>
          <w:rFonts w:ascii="Times New Roman" w:eastAsia="Times New Roman" w:hAnsi="Times New Roman" w:cs="Times New Roman"/>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sidR="00361349">
        <w:rPr>
          <w:rFonts w:ascii="Times New Roman" w:eastAsia="Times New Roman" w:hAnsi="Times New Roman" w:cs="Times New Roman"/>
          <w:color w:val="000000" w:themeColor="text1"/>
          <w:sz w:val="30"/>
          <w:szCs w:val="30"/>
          <w:shd w:val="clear" w:color="auto" w:fill="FFFFFF"/>
          <w:lang w:eastAsia="ru-RU"/>
        </w:rPr>
        <w:t xml:space="preserve"> </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sidR="00361349">
        <w:rPr>
          <w:rFonts w:ascii="Times New Roman" w:eastAsia="Times New Roman" w:hAnsi="Times New Roman" w:cs="Times New Roman"/>
          <w:b/>
          <w:color w:val="000000" w:themeColor="text1"/>
          <w:sz w:val="30"/>
          <w:szCs w:val="30"/>
          <w:shd w:val="clear" w:color="auto" w:fill="FFFFFF"/>
          <w:lang w:eastAsia="ru-RU"/>
        </w:rPr>
        <w:t xml:space="preserve"> </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w:t>
      </w:r>
      <w:r w:rsidRPr="00C42A75">
        <w:rPr>
          <w:rFonts w:ascii="Times New Roman" w:eastAsia="Times New Roman" w:hAnsi="Times New Roman" w:cs="Times New Roman"/>
          <w:color w:val="000000" w:themeColor="text1"/>
          <w:sz w:val="30"/>
          <w:szCs w:val="30"/>
          <w:shd w:val="clear" w:color="auto" w:fill="FFFFFF"/>
          <w:lang w:eastAsia="ru-RU"/>
        </w:rPr>
        <w:lastRenderedPageBreak/>
        <w:t xml:space="preserve">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sidR="00DE1DAF">
        <w:rPr>
          <w:rFonts w:ascii="Times New Roman" w:eastAsia="Times New Roman" w:hAnsi="Times New Roman" w:cs="Times New Roman"/>
          <w:color w:val="000000" w:themeColor="text1"/>
          <w:sz w:val="30"/>
          <w:szCs w:val="30"/>
          <w:shd w:val="clear" w:color="auto" w:fill="FFFFFF"/>
          <w:lang w:eastAsia="ru-RU"/>
        </w:rPr>
        <w:t xml:space="preserve"> </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lastRenderedPageBreak/>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w:t>
      </w:r>
      <w:r w:rsidRPr="00040065">
        <w:rPr>
          <w:rFonts w:ascii="Times New Roman" w:eastAsia="Times New Roman" w:hAnsi="Times New Roman" w:cs="Times New Roman"/>
          <w:color w:val="000000" w:themeColor="text1"/>
          <w:sz w:val="30"/>
          <w:szCs w:val="30"/>
          <w:shd w:val="clear" w:color="auto" w:fill="FFFFFF"/>
          <w:lang w:eastAsia="ru-RU"/>
        </w:rPr>
        <w:lastRenderedPageBreak/>
        <w:t xml:space="preserve">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w:t>
      </w:r>
      <w:r w:rsidR="00DE1DAF">
        <w:rPr>
          <w:rFonts w:ascii="Times New Roman" w:eastAsia="Times New Roman" w:hAnsi="Times New Roman" w:cs="Times New Roman"/>
          <w:iCs/>
          <w:color w:val="000000" w:themeColor="text1"/>
          <w:sz w:val="30"/>
          <w:szCs w:val="30"/>
          <w:shd w:val="clear" w:color="auto" w:fill="FFFFFF"/>
          <w:lang w:eastAsia="ru-RU"/>
        </w:rPr>
        <w:t xml:space="preserve"> </w:t>
      </w:r>
      <w:r w:rsidRPr="00771FBE">
        <w:rPr>
          <w:rFonts w:ascii="Times New Roman" w:eastAsia="Times New Roman" w:hAnsi="Times New Roman" w:cs="Times New Roman"/>
          <w:iCs/>
          <w:color w:val="000000" w:themeColor="text1"/>
          <w:sz w:val="30"/>
          <w:szCs w:val="30"/>
          <w:shd w:val="clear" w:color="auto" w:fill="FFFFFF"/>
          <w:lang w:eastAsia="ru-RU"/>
        </w:rPr>
        <w:t>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lastRenderedPageBreak/>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 xml:space="preserve">бучение и повышение квалификациипрошли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lastRenderedPageBreak/>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lastRenderedPageBreak/>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По данным Белстата в 2021 году в результате несчастных случаев на производстве потеряно 76,1 тыс. человеко-дней (в 2020 году – 72,9). По данным БРУСП «Белгосстрах»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00DE1DAF">
        <w:rPr>
          <w:rFonts w:ascii="Times New Roman" w:eastAsia="Times New Roman" w:hAnsi="Times New Roman" w:cs="Times New Roman"/>
          <w:color w:val="000000" w:themeColor="text1"/>
          <w:sz w:val="30"/>
          <w:szCs w:val="30"/>
          <w:shd w:val="clear" w:color="auto" w:fill="FFFFFF"/>
          <w:lang w:eastAsia="ru-RU"/>
        </w:rPr>
        <w:t xml:space="preserve"> </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еудовлетворительное 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 xml:space="preserve">Проблема появления работников на работе в состоянии алкогольного опьянения, распития спиртных напитков в рабочее время </w:t>
      </w:r>
      <w:r w:rsidRPr="002236C9">
        <w:rPr>
          <w:rFonts w:ascii="Times New Roman" w:eastAsia="Times New Roman" w:hAnsi="Times New Roman" w:cs="Times New Roman"/>
          <w:color w:val="000000" w:themeColor="text1"/>
          <w:sz w:val="30"/>
          <w:szCs w:val="30"/>
          <w:shd w:val="clear" w:color="auto" w:fill="FFFFFF"/>
          <w:lang w:eastAsia="ru-RU"/>
        </w:rPr>
        <w:lastRenderedPageBreak/>
        <w:t>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w:t>
      </w:r>
      <w:r w:rsidR="00DE1DAF">
        <w:rPr>
          <w:rFonts w:ascii="Times New Roman" w:eastAsia="Times New Roman" w:hAnsi="Times New Roman" w:cs="Times New Roman"/>
          <w:color w:val="000000" w:themeColor="text1"/>
          <w:sz w:val="30"/>
          <w:szCs w:val="30"/>
          <w:shd w:val="clear" w:color="auto" w:fill="FFFFFF"/>
          <w:lang w:eastAsia="ru-RU"/>
        </w:rPr>
        <w:t xml:space="preserve"> </w:t>
      </w:r>
      <w:r>
        <w:rPr>
          <w:rFonts w:ascii="Times New Roman" w:eastAsia="Times New Roman" w:hAnsi="Times New Roman" w:cs="Times New Roman"/>
          <w:color w:val="000000" w:themeColor="text1"/>
          <w:sz w:val="30"/>
          <w:szCs w:val="30"/>
          <w:shd w:val="clear" w:color="auto" w:fill="FFFFFF"/>
          <w:lang w:eastAsia="ru-RU"/>
        </w:rPr>
        <w:t>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8873BB">
      <w:headerReference w:type="default" r:id="rId6"/>
      <w:pgSz w:w="11906" w:h="16838"/>
      <w:pgMar w:top="1134" w:right="566"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991" w:rsidRDefault="002D3991" w:rsidP="00FE1C7E">
      <w:pPr>
        <w:spacing w:after="0" w:line="240" w:lineRule="auto"/>
      </w:pPr>
      <w:r>
        <w:separator/>
      </w:r>
    </w:p>
  </w:endnote>
  <w:endnote w:type="continuationSeparator" w:id="1">
    <w:p w:rsidR="002D3991" w:rsidRDefault="002D3991" w:rsidP="00FE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991" w:rsidRDefault="002D3991" w:rsidP="00FE1C7E">
      <w:pPr>
        <w:spacing w:after="0" w:line="240" w:lineRule="auto"/>
      </w:pPr>
      <w:r>
        <w:separator/>
      </w:r>
    </w:p>
  </w:footnote>
  <w:footnote w:type="continuationSeparator" w:id="1">
    <w:p w:rsidR="002D3991" w:rsidRDefault="002D3991" w:rsidP="00FE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BD4451" w:rsidP="00FE1C7E">
        <w:pPr>
          <w:pStyle w:val="a6"/>
          <w:jc w:val="center"/>
          <w:rPr>
            <w:rFonts w:ascii="Times New Roman" w:hAnsi="Times New Roman" w:cs="Times New Roman"/>
          </w:rPr>
        </w:pPr>
        <w:r w:rsidRPr="00FE1C7E">
          <w:rPr>
            <w:rFonts w:ascii="Times New Roman" w:hAnsi="Times New Roman" w:cs="Times New Roman"/>
          </w:rPr>
          <w:fldChar w:fldCharType="begin"/>
        </w:r>
        <w:r w:rsidR="00FE1C7E"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19185D">
          <w:rPr>
            <w:rFonts w:ascii="Times New Roman" w:hAnsi="Times New Roman" w:cs="Times New Roman"/>
            <w:noProof/>
          </w:rPr>
          <w:t>12</w:t>
        </w:r>
        <w:r w:rsidRPr="00FE1C7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35B"/>
    <w:rsid w:val="0004674F"/>
    <w:rsid w:val="0019185D"/>
    <w:rsid w:val="00193907"/>
    <w:rsid w:val="002757ED"/>
    <w:rsid w:val="002D3991"/>
    <w:rsid w:val="002D45CE"/>
    <w:rsid w:val="002D5617"/>
    <w:rsid w:val="00313044"/>
    <w:rsid w:val="00361349"/>
    <w:rsid w:val="00386742"/>
    <w:rsid w:val="004208C4"/>
    <w:rsid w:val="00567BC4"/>
    <w:rsid w:val="00597C1E"/>
    <w:rsid w:val="006A6A31"/>
    <w:rsid w:val="007D5F5E"/>
    <w:rsid w:val="00871DD1"/>
    <w:rsid w:val="008873BB"/>
    <w:rsid w:val="00984D00"/>
    <w:rsid w:val="00A430DD"/>
    <w:rsid w:val="00AA48C4"/>
    <w:rsid w:val="00BD4451"/>
    <w:rsid w:val="00C5635B"/>
    <w:rsid w:val="00CD7162"/>
    <w:rsid w:val="00D74D79"/>
    <w:rsid w:val="00DB08F4"/>
    <w:rsid w:val="00DE1DAF"/>
    <w:rsid w:val="00E1276F"/>
    <w:rsid w:val="00F27BA3"/>
    <w:rsid w:val="00FE1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4120</Words>
  <Characters>23485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Гомонов</cp:lastModifiedBy>
  <cp:revision>12</cp:revision>
  <cp:lastPrinted>2022-04-19T13:52:00Z</cp:lastPrinted>
  <dcterms:created xsi:type="dcterms:W3CDTF">2022-04-14T12:39:00Z</dcterms:created>
  <dcterms:modified xsi:type="dcterms:W3CDTF">2022-04-19T13:53:00Z</dcterms:modified>
</cp:coreProperties>
</file>