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Применение электронных накладных при осуществлении торговли товарами, подлежащими маркировке средствами идентификации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График перехода объектов торговли и общественного питания на электронный</w:t>
        <w:br/>
        <w:t xml:space="preserve">документооборот </w:t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с учетом внесенных изменений)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согласно Комплексу мероприятий по</w:t>
        <w:br/>
        <w:t xml:space="preserve">переходу торговых объектов к использованию электронных накладных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при обороте</w:t>
        <w:br/>
        <w:t xml:space="preserve">молочной продукции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с незащищенными средствами идентификации, утвержденному</w:t>
        <w:br/>
        <w:t>Заместителем Премьер-министра Республики Беларусь 26 июля 2021 г. № 06/221-403/465</w:t>
      </w:r>
    </w:p>
    <w:tbl>
      <w:tblPr>
        <w:tblOverlap w:val="never"/>
        <w:jc w:val="center"/>
        <w:tblLayout w:type="fixed"/>
      </w:tblPr>
      <w:tblGrid>
        <w:gridCol w:w="3514"/>
        <w:gridCol w:w="3542"/>
        <w:gridCol w:w="2808"/>
      </w:tblGrid>
      <w:tr>
        <w:trPr>
          <w:trHeight w:val="18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Объекты торговли, расположенные на территории городских населенных пунктов, с размером торговой площади, кв. м., объекты общественного питания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Объекты торговли, расположенные на территории сельской местности, с размером торговой площади, кв. м., объекты общественного питания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Сроки перехода на электронный документооборот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1000 и более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1000 и более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01.02.2022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200-999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200-999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01.04.2022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100-199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100-199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01.06.2022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100, киоски и объекты общественного питания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100, киоски, автомагазины и объекты общественного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питания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01.10.2022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График перехода объектов торговли на электронный документооборот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(с учетом</w:t>
        <w:br/>
        <w:t>внесенных изменений</w:t>
      </w:r>
      <w:r>
        <w:rPr>
          <w:color w:val="000000"/>
          <w:spacing w:val="0"/>
          <w:w w:val="100"/>
          <w:position w:val="0"/>
          <w:sz w:val="24"/>
          <w:szCs w:val="24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согласно Комплексу мероприятий по переходу торговых объектов к использованию</w:t>
        <w:br/>
        <w:t>электронных накладных при обороте товаров, подлежащих маркировке (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за исключением</w:t>
        <w:br/>
        <w:t>молочной продукции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) и (или) прослеживаемости, на 2021 - 2022 годы, утвержденному</w:t>
        <w:br/>
        <w:t xml:space="preserve">Первым заместителем Премьер-министра Республики Беларусь 5 ноября 2021 г. №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32/221</w:t>
        <w:t>-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br/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569/242</w:t>
      </w:r>
    </w:p>
    <w:tbl>
      <w:tblPr>
        <w:tblOverlap w:val="never"/>
        <w:jc w:val="center"/>
        <w:tblLayout w:type="fixed"/>
      </w:tblPr>
      <w:tblGrid>
        <w:gridCol w:w="682"/>
        <w:gridCol w:w="4253"/>
        <w:gridCol w:w="2410"/>
        <w:gridCol w:w="2520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 п\п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Объекты торговли по видам и типам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Размер торговой площади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Сроки перехода на электронный документооборот</w:t>
            </w:r>
          </w:p>
        </w:tc>
      </w:tr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Специализированные магазины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более 1000 кв. 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01.04.2022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600 - 1000 кв.м.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01.05.2022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600 кв.м.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01.06.2022</w:t>
            </w: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Неспециализированные магазины с универсальным, комбинированным, смешанным ассортиментом товаров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более 1000 кв. 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01.04.2022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600 - 1000 кв.м.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01.05.2022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200 - 599 кв.м.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01.06.2022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менее 200 кв. 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01.10.2022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Павильоны, киоски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 01.10.2022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Напоминаем, что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 (далее - Указ № 243) предусмотрено, что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субъекты хозяйствования, осуществляющие оборот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товаров со средством идентификации, нанесенным непосредственно на товар или его упаковку либо на материальный носитель, не содержащий элементы (средства) защиты от подделки или знак защиты (далее - незащищенные средства идентификации),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обязаны использовать </w:t>
      </w:r>
      <w:r>
        <w:rPr>
          <w:color w:val="000000"/>
          <w:spacing w:val="0"/>
          <w:w w:val="100"/>
          <w:position w:val="0"/>
          <w:sz w:val="24"/>
          <w:szCs w:val="24"/>
        </w:rPr>
        <w:t>товарно-транспортные и (или) товарные накладные, создаваемые в виде электронных документов (далее - электронные накладные), в которых указана информация о нанесенных средствах идентификации.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в том числе их приобретение, предложение к реализации и реализация </w:t>
      </w:r>
      <w:r>
        <w:rPr>
          <w:color w:val="000000"/>
          <w:spacing w:val="0"/>
          <w:w w:val="100"/>
          <w:position w:val="0"/>
          <w:sz w:val="24"/>
          <w:szCs w:val="24"/>
        </w:rPr>
        <w:t>на территории Республики Беларусь, а также трансграничная торговля.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Учитывая изложенное,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требование об обязательном использовании электронных накладных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при обороте товаров с незащищенным средством идентификации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распространяется, в том числе на субъектов хозяйствования, осуществляющих приобретение и последующую реализацию таких товаров.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Справочно. Перечень товаров, подлежащих маркировке средствами идентификации, определен в приложении 2 к постановлению Совета Министров Республики Беларусь от 29 июля 2011 г. № 1030 (далее - Перечень).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Одновременно обращаем внимание, что при ввозе товаров, подлежащих маркировке средствами идентификации, на территорию Республики Беларусь при трансграничной торговле (например, из Российской Федерации) товары, включенные в Перечень, должны быть промаркированы. При этом Указом № 243 и Соглашением о маркировке товаров средствами идентификации в Евразийском экономическом союзе от 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Так, с даты введения в Республике Беларусь маркировки средствами идентификации в отношении молочной продукции, товаров легкой промышленности, шин и покрышек резиновых новых, а также обуви признаются средства идентификации российского образца, нанесенные на такие товары, и ввезенные с территории Российской Федерации.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В свою очередь в Российской Федерации маркировка товаров осуществляется только незащищенными средствами идентификации.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Учитывая изложенное, субъекты хозяйствования, осуществляющие оборот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(в том числе оптовую и розничную торговлю) товаров (в том числе молочной продукции)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, включенных в Перечень и маркированных незащищенными средствами идентификации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(в том числе ввезенными с территории Российской Федерации), обязаны использовать электронные накладные.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В свою очередь в </w:t>
      </w:r>
      <w:r>
        <w:rPr>
          <w:color w:val="1A1A1A"/>
          <w:spacing w:val="0"/>
          <w:w w:val="100"/>
          <w:position w:val="0"/>
          <w:sz w:val="24"/>
          <w:szCs w:val="24"/>
        </w:rPr>
        <w:t>рамках реализации Комплексного плана по поддержке экономики до 31.12.2022 установлен мораторий на применение контролирующими органами мер ответственности за необеспечение субъектами хозяйствования использования электронных накладных при обороте товаров, подлежащих маркировке (далее - мораторий).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1A1A1A"/>
          <w:spacing w:val="0"/>
          <w:w w:val="100"/>
          <w:position w:val="0"/>
          <w:sz w:val="24"/>
          <w:szCs w:val="24"/>
        </w:rPr>
        <w:t xml:space="preserve">Меры ответственности по статье 13.12 «Нарушение порядка приобретения, хранения, использования в производстве, транспортировки, отпуска и реализации товаров» Кодекса Республики Беларусь об административных правонарушениях за неприменение электронных 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накладных при обороте товаров, маркированных незащищенными средствами идентификации, до 31.12.2022 </w:t>
      </w:r>
      <w:r>
        <w:rPr>
          <w:b/>
          <w:bCs/>
          <w:color w:val="1A1A1A"/>
          <w:spacing w:val="0"/>
          <w:w w:val="100"/>
          <w:position w:val="0"/>
          <w:sz w:val="24"/>
          <w:szCs w:val="24"/>
        </w:rPr>
        <w:t>применяться не будут</w:t>
      </w:r>
      <w:r>
        <w:rPr>
          <w:color w:val="1A1A1A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1A1A1A"/>
          <w:spacing w:val="0"/>
          <w:w w:val="100"/>
          <w:position w:val="0"/>
          <w:sz w:val="24"/>
          <w:szCs w:val="24"/>
        </w:rPr>
        <w:t xml:space="preserve">Установление моратория направлено на создание благоприятных условий для перехода субъектов хозяйствования на использование </w:t>
      </w:r>
      <w:r>
        <w:rPr>
          <w:color w:val="000000"/>
          <w:spacing w:val="0"/>
          <w:w w:val="100"/>
          <w:position w:val="0"/>
          <w:sz w:val="24"/>
          <w:szCs w:val="24"/>
        </w:rPr>
        <w:t>электронных накладных</w:t>
      </w:r>
      <w:r>
        <w:rPr>
          <w:color w:val="1A1A1A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740"/>
        <w:jc w:val="both"/>
      </w:pPr>
      <w:r>
        <w:rPr>
          <w:color w:val="1A1A1A"/>
          <w:spacing w:val="0"/>
          <w:w w:val="100"/>
          <w:position w:val="0"/>
          <w:sz w:val="24"/>
          <w:szCs w:val="24"/>
        </w:rPr>
        <w:t>До 31 декабря 2022 года субъекты хозяйствования должны предпринять необходимые действия, чтобы с 1 января 2023 года обеспечить использование электронных накладных при обороте товаров, подлежащих маркировке.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59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Справочно. Порядок создания, передачи и получения электронных накладных в Республике Беларусь регламентирован постановлением Совета Министров Республики Беларусь от 30 декабря 2019 г. № 940 «О функционировании механизма электронных накладных».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40"/>
        <w:jc w:val="both"/>
      </w:pPr>
      <w:r>
        <w:rPr>
          <w:b/>
          <w:bCs/>
          <w:color w:val="1A1A1A"/>
          <w:spacing w:val="0"/>
          <w:w w:val="100"/>
          <w:position w:val="0"/>
          <w:sz w:val="24"/>
          <w:szCs w:val="24"/>
        </w:rPr>
        <w:t>Алгоритм действий субъектов хозяйствования по внедрению электронных накладных: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7" w:val="left"/>
        </w:tabs>
        <w:bidi w:val="0"/>
        <w:spacing w:before="0" w:after="200" w:line="240" w:lineRule="auto"/>
        <w:ind w:left="0" w:right="0" w:firstLine="740"/>
        <w:jc w:val="both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Проанализировать ассортимент </w:t>
      </w:r>
      <w:r>
        <w:rPr>
          <w:color w:val="000000"/>
          <w:spacing w:val="0"/>
          <w:w w:val="100"/>
          <w:position w:val="0"/>
          <w:sz w:val="24"/>
          <w:szCs w:val="24"/>
        </w:rPr>
        <w:t>реализуемой продукции на предмет включения ее в перечень товаров, подлежащих маркировке средствами идентификации</w:t>
      </w:r>
      <w:r>
        <w:rPr>
          <w:color w:val="1A1A1A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7" w:val="left"/>
        </w:tabs>
        <w:bidi w:val="0"/>
        <w:spacing w:before="0" w:after="0"/>
        <w:ind w:left="0" w:right="0" w:firstLine="740"/>
        <w:jc w:val="both"/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Опросить поставщиков </w:t>
      </w:r>
      <w:r>
        <w:rPr>
          <w:color w:val="000000"/>
          <w:spacing w:val="0"/>
          <w:w w:val="100"/>
          <w:position w:val="0"/>
          <w:sz w:val="24"/>
          <w:szCs w:val="24"/>
        </w:rPr>
        <w:t>реализуемых товаров, включенных в перечень товаров, подлежащих маркировке средствами идентификации, на предмет планируемого ими способа нанесения средства идентификации на товары: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без использования полиграфически защищенных материальных носителей или знаков защиты;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 использованием полиграфически защищенных материальных носителей или знаков защиты.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7" w:val="left"/>
        </w:tabs>
        <w:bidi w:val="0"/>
        <w:spacing w:before="0" w:after="200" w:line="240" w:lineRule="auto"/>
        <w:ind w:left="0" w:right="0" w:firstLine="740"/>
        <w:jc w:val="both"/>
      </w:pPr>
      <w:bookmarkStart w:id="2" w:name="bookmark2"/>
      <w:bookmarkEnd w:id="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Получить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международный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идентификационный код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участника хозяйственной операции (глобальный номер расположения -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Global Location Number (GLN), </w:t>
      </w:r>
      <w:r>
        <w:rPr>
          <w:color w:val="000000"/>
          <w:spacing w:val="0"/>
          <w:w w:val="100"/>
          <w:position w:val="0"/>
          <w:sz w:val="24"/>
          <w:szCs w:val="24"/>
        </w:rPr>
        <w:t>присваиваемый системой автоматической идентификации ГС1 Беларуси.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>Справочно. Указанный реквизит является обязательным для заполнения при составлении электронных накладных.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40"/>
        <w:jc w:val="both"/>
      </w:pPr>
      <w:r>
        <w:rPr>
          <w:color w:val="1A1A1A"/>
          <w:spacing w:val="0"/>
          <w:w w:val="100"/>
          <w:position w:val="0"/>
          <w:sz w:val="24"/>
          <w:szCs w:val="24"/>
        </w:rPr>
        <w:t xml:space="preserve">Получение 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GLN </w:t>
      </w:r>
      <w:r>
        <w:rPr>
          <w:color w:val="1A1A1A"/>
          <w:spacing w:val="0"/>
          <w:w w:val="100"/>
          <w:position w:val="0"/>
          <w:sz w:val="24"/>
          <w:szCs w:val="24"/>
        </w:rPr>
        <w:t>осуществляется в ассоциации ГС1 Беларуси (г. Минск, ул. Судмалиса, 22, 4 этаж, тел.: (+375 17) 298-09-13, 298-06-60, 230-89-52; факс (+375 17) 298-03</w:t>
        <w:softHyphen/>
        <w:t xml:space="preserve">01, 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e-mail: </w:t>
      </w:r>
      <w:r>
        <w:fldChar w:fldCharType="begin"/>
      </w:r>
      <w:r>
        <w:rPr/>
        <w:instrText> HYPERLINK "mailto:info@gs1by.by" </w:instrText>
      </w:r>
      <w:r>
        <w:fldChar w:fldCharType="separate"/>
      </w:r>
      <w:r>
        <w:rPr>
          <w:color w:val="007A65"/>
          <w:spacing w:val="0"/>
          <w:w w:val="100"/>
          <w:position w:val="0"/>
          <w:sz w:val="24"/>
          <w:szCs w:val="24"/>
          <w:u w:val="single"/>
        </w:rPr>
        <w:t>info@gs1by.by</w:t>
      </w:r>
      <w:r>
        <w:fldChar w:fldCharType="end"/>
      </w:r>
      <w:r>
        <w:rPr>
          <w:color w:val="1A1A1A"/>
          <w:spacing w:val="0"/>
          <w:w w:val="100"/>
          <w:position w:val="0"/>
          <w:sz w:val="24"/>
          <w:szCs w:val="24"/>
          <w:u w:val="single"/>
        </w:rPr>
        <w:t>,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 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прейскурант размещен на: </w:t>
      </w:r>
      <w:r>
        <w:fldChar w:fldCharType="begin"/>
      </w:r>
      <w:r>
        <w:rPr/>
        <w:instrText> HYPERLINK "http://gs1by.by/%d0%bf%d0%be%d0%bb%d1%83%d1%87%d0%b5%d0%bd%d0%b8%d0%b5-%d0%bd%d0%be%d0%bc%d0%b5%d1%80%d0%b0-gln/" </w:instrText>
      </w:r>
      <w:r>
        <w:fldChar w:fldCharType="separate"/>
      </w:r>
      <w:r>
        <w:rPr>
          <w:color w:val="007A65"/>
          <w:spacing w:val="0"/>
          <w:w w:val="100"/>
          <w:position w:val="0"/>
          <w:sz w:val="24"/>
          <w:szCs w:val="24"/>
          <w:u w:val="single"/>
        </w:rPr>
        <w:t>http://gs1by.by/</w:t>
      </w:r>
      <w:r>
        <w:fldChar w:fldCharType="end"/>
      </w:r>
      <w:r>
        <w:rPr>
          <w:color w:val="1A1A1A"/>
          <w:spacing w:val="0"/>
          <w:w w:val="100"/>
          <w:position w:val="0"/>
          <w:sz w:val="24"/>
          <w:szCs w:val="24"/>
          <w:u w:val="single"/>
        </w:rPr>
        <w:t>)</w:t>
      </w:r>
      <w:r>
        <w:rPr>
          <w:color w:val="1A1A1A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Справочно. Пошаговая инструкция размещена </w:t>
      </w:r>
      <w:r>
        <w:fldChar w:fldCharType="begin"/>
      </w:r>
      <w:r>
        <w:rPr/>
        <w:instrText> HYPERLINK "http://gs1by.by/%d0%bf%d0%be%d0%bb%d1%83%d1%87%d0%b5%d0%bd%d0%b8%d0%b5-%d0%bd%d0%be%d0%bc%d0%b5%d1%80%d0%b0-gln/" </w:instrText>
      </w:r>
      <w:r>
        <w:fldChar w:fldCharType="separate"/>
      </w:r>
      <w:r>
        <w:rPr>
          <w:i/>
          <w:iCs/>
          <w:color w:val="007A65"/>
          <w:spacing w:val="0"/>
          <w:w w:val="100"/>
          <w:position w:val="0"/>
          <w:sz w:val="24"/>
          <w:szCs w:val="24"/>
          <w:u w:val="single"/>
        </w:rPr>
        <w:t>по ссылке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17" w:val="left"/>
        </w:tabs>
        <w:bidi w:val="0"/>
        <w:spacing w:before="0" w:after="0" w:line="240" w:lineRule="auto"/>
        <w:ind w:left="0" w:right="0" w:firstLine="740"/>
        <w:jc w:val="both"/>
      </w:pPr>
      <w:bookmarkStart w:id="3" w:name="bookmark3"/>
      <w:bookmarkEnd w:id="3"/>
      <w:r>
        <w:rPr>
          <w:b/>
          <w:bCs/>
          <w:color w:val="1A1A1A"/>
          <w:spacing w:val="0"/>
          <w:w w:val="100"/>
          <w:position w:val="0"/>
          <w:sz w:val="24"/>
          <w:szCs w:val="24"/>
        </w:rPr>
        <w:t xml:space="preserve">Получить электронную цифровую подпись </w:t>
      </w:r>
      <w:r>
        <w:rPr>
          <w:color w:val="1A1A1A"/>
          <w:spacing w:val="0"/>
          <w:w w:val="100"/>
          <w:position w:val="0"/>
          <w:sz w:val="24"/>
          <w:szCs w:val="24"/>
        </w:rPr>
        <w:t>(далее - ЭЦП) для лица (лиц), осуществляющих приемку товаров и подписание накладных (в случае их отсутствия).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740"/>
        <w:jc w:val="both"/>
      </w:pPr>
      <w:r>
        <w:rPr>
          <w:color w:val="1A1A1A"/>
          <w:spacing w:val="0"/>
          <w:w w:val="100"/>
          <w:position w:val="0"/>
          <w:sz w:val="24"/>
          <w:szCs w:val="24"/>
        </w:rPr>
        <w:t xml:space="preserve">Возможно осуществить в Республиканском унитарном предприятии «Национальный центр электронных услуг» (далее - НЦЭУ) (г. Минск, пр. Машерова, 25, пом. 200, тел. (017) 311 30 00 (доб. 707) либо в иных региональных регистрационных центрах, перечень которых размещен на сайте НЦЭУ </w:t>
      </w:r>
      <w:r>
        <w:fldChar w:fldCharType="begin"/>
      </w:r>
      <w:r>
        <w:rPr/>
        <w:instrText> HYPERLINK "http://www.nces.by/" </w:instrText>
      </w:r>
      <w:r>
        <w:fldChar w:fldCharType="separate"/>
      </w:r>
      <w:r>
        <w:rPr>
          <w:color w:val="007A65"/>
          <w:spacing w:val="0"/>
          <w:w w:val="100"/>
          <w:position w:val="0"/>
          <w:sz w:val="24"/>
          <w:szCs w:val="24"/>
          <w:u w:val="single"/>
        </w:rPr>
        <w:t>www.nces.by</w:t>
      </w:r>
      <w:r>
        <w:fldChar w:fldCharType="end"/>
      </w:r>
      <w:r>
        <w:rPr>
          <w:color w:val="1A1A1A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Справочно. Информация и справочные документы по получению ЭЦП размещены по ссылке </w:t>
      </w:r>
      <w:r>
        <w:fldChar w:fldCharType="begin"/>
      </w:r>
      <w:r>
        <w:rPr/>
        <w:instrText> HYPERLINK "https://nces.by/pki/" </w:instrText>
      </w:r>
      <w:r>
        <w:fldChar w:fldCharType="separate"/>
      </w:r>
      <w:r>
        <w:rPr>
          <w:i/>
          <w:iCs/>
          <w:color w:val="007A65"/>
          <w:spacing w:val="0"/>
          <w:w w:val="100"/>
          <w:position w:val="0"/>
          <w:sz w:val="24"/>
          <w:szCs w:val="24"/>
          <w:u w:val="single"/>
        </w:rPr>
        <w:t>https://nces.by/pki/</w:t>
      </w:r>
      <w:r>
        <w:fldChar w:fldCharType="end"/>
      </w: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94" w:val="left"/>
          <w:tab w:pos="3222" w:val="left"/>
          <w:tab w:pos="5252" w:val="left"/>
          <w:tab w:pos="7662" w:val="left"/>
        </w:tabs>
        <w:bidi w:val="0"/>
        <w:spacing w:before="0" w:after="0" w:line="240" w:lineRule="auto"/>
        <w:ind w:left="0" w:right="0" w:firstLine="740"/>
        <w:jc w:val="both"/>
      </w:pPr>
      <w:bookmarkStart w:id="4" w:name="bookmark4"/>
      <w:bookmarkEnd w:id="4"/>
      <w:r>
        <w:rPr>
          <w:b/>
          <w:bCs/>
          <w:color w:val="1A1A1A"/>
          <w:spacing w:val="0"/>
          <w:w w:val="100"/>
          <w:position w:val="0"/>
          <w:sz w:val="24"/>
          <w:szCs w:val="24"/>
        </w:rPr>
        <w:t>Определить</w:t>
        <w:tab/>
        <w:t>оператора</w:t>
        <w:tab/>
        <w:t>электронного</w:t>
        <w:tab/>
        <w:t>документооборота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1A1A1A"/>
          <w:spacing w:val="0"/>
          <w:w w:val="100"/>
          <w:position w:val="0"/>
          <w:sz w:val="24"/>
          <w:szCs w:val="24"/>
        </w:rPr>
        <w:t>(EDI</w:t>
      </w:r>
      <w:r>
        <w:rPr>
          <w:color w:val="1A1A1A"/>
          <w:spacing w:val="0"/>
          <w:w w:val="100"/>
          <w:position w:val="0"/>
          <w:sz w:val="24"/>
          <w:szCs w:val="24"/>
        </w:rPr>
        <w:t>-провайдера), с использованием услуг которого будет осуществляться электронный документооборот в части электронных накладных, и заключить с ним договор.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Справочно. В настоящее время операторами электронного документооборота </w:t>
      </w: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(EDI- </w:t>
      </w: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>провайдерами), осуществляющими передачу и получение электронных накладных, являются 6 юридических лиц Республики Беларусь: ООО «Современные технологии торговли», ООО «Электронные документы и накладные», ООО «ЮрСпектр», РУП «Издательство «Белбланкавыд», РУП «Производственное объединение «Белоруснефть» и ООО «Бидмартс».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60"/>
        <w:jc w:val="both"/>
      </w:pP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Информация об аттестованных </w:t>
      </w: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>EDI</w:t>
      </w:r>
      <w:r>
        <w:rPr>
          <w:i/>
          <w:iCs/>
          <w:color w:val="1A1A1A"/>
          <w:spacing w:val="0"/>
          <w:w w:val="100"/>
          <w:position w:val="0"/>
          <w:sz w:val="24"/>
          <w:szCs w:val="24"/>
        </w:rPr>
        <w:t xml:space="preserve">-провайдерах и их контактных данных размещена на официальном сайте республиканского унитарного предприятия «Межотраслевой научно-практический центр систем идентификации и электронных деловых операций» Национальной академии наук Беларуси по адресу: </w:t>
      </w:r>
      <w:r>
        <w:fldChar w:fldCharType="begin"/>
      </w:r>
      <w:r>
        <w:rPr/>
        <w:instrText> HYPERLINK "https://ids.by/index.php?option=com_content&amp;view=article&amp;id=226&amp;Itemid=43%23REESTR" </w:instrText>
      </w:r>
      <w:r>
        <w:fldChar w:fldCharType="separate"/>
      </w:r>
      <w:r>
        <w:rPr>
          <w:i/>
          <w:iCs/>
          <w:color w:val="007A65"/>
          <w:spacing w:val="0"/>
          <w:w w:val="100"/>
          <w:position w:val="0"/>
          <w:sz w:val="24"/>
          <w:szCs w:val="24"/>
          <w:u w:val="single"/>
        </w:rPr>
        <w:t>https://ids.by/index.php?option=com content&amp;view=article&amp;id=226&amp;Itemid=43#REESTR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16" w:val="left"/>
        </w:tabs>
        <w:bidi w:val="0"/>
        <w:spacing w:before="0" w:after="220" w:line="240" w:lineRule="auto"/>
        <w:ind w:left="0" w:right="0" w:firstLine="760"/>
        <w:jc w:val="both"/>
      </w:pPr>
      <w:bookmarkStart w:id="5" w:name="bookmark5"/>
      <w:bookmarkEnd w:id="5"/>
      <w:r>
        <w:rPr>
          <w:color w:val="1A1A1A"/>
          <w:spacing w:val="0"/>
          <w:w w:val="100"/>
          <w:position w:val="0"/>
          <w:sz w:val="24"/>
          <w:szCs w:val="24"/>
        </w:rPr>
        <w:t xml:space="preserve">По результатам проведенных консультаций с выбранным </w:t>
      </w:r>
      <w:r>
        <w:rPr>
          <w:color w:val="1A1A1A"/>
          <w:spacing w:val="0"/>
          <w:w w:val="100"/>
          <w:position w:val="0"/>
          <w:sz w:val="24"/>
          <w:szCs w:val="24"/>
        </w:rPr>
        <w:t>EDI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-провайдером </w:t>
      </w:r>
      <w:r>
        <w:rPr>
          <w:b/>
          <w:bCs/>
          <w:color w:val="1A1A1A"/>
          <w:spacing w:val="0"/>
          <w:w w:val="100"/>
          <w:position w:val="0"/>
          <w:sz w:val="24"/>
          <w:szCs w:val="24"/>
        </w:rPr>
        <w:t xml:space="preserve">подготовить рабочее место 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и </w:t>
      </w:r>
      <w:r>
        <w:rPr>
          <w:b/>
          <w:bCs/>
          <w:color w:val="1A1A1A"/>
          <w:spacing w:val="0"/>
          <w:w w:val="100"/>
          <w:position w:val="0"/>
          <w:sz w:val="24"/>
          <w:szCs w:val="24"/>
        </w:rPr>
        <w:t xml:space="preserve">наладить информационное взаимодействие </w:t>
      </w:r>
      <w:r>
        <w:rPr>
          <w:color w:val="1A1A1A"/>
          <w:spacing w:val="0"/>
          <w:w w:val="100"/>
          <w:position w:val="0"/>
          <w:sz w:val="24"/>
          <w:szCs w:val="24"/>
        </w:rPr>
        <w:t xml:space="preserve">между учетной системой, применяемой предприятием, с информационной системой электронного документооборота </w:t>
      </w:r>
      <w:r>
        <w:rPr>
          <w:color w:val="1A1A1A"/>
          <w:spacing w:val="0"/>
          <w:w w:val="100"/>
          <w:position w:val="0"/>
          <w:sz w:val="24"/>
          <w:szCs w:val="24"/>
        </w:rPr>
        <w:t>EDI</w:t>
      </w:r>
      <w:r>
        <w:rPr>
          <w:color w:val="1A1A1A"/>
          <w:spacing w:val="0"/>
          <w:w w:val="100"/>
          <w:position w:val="0"/>
          <w:sz w:val="24"/>
          <w:szCs w:val="24"/>
        </w:rPr>
        <w:t>-провайдера (при необходимости).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684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Пресс-центр инспекции МНС Республики Беларусь по Могилевской области тел. 29 40 61</w:t>
      </w:r>
    </w:p>
    <w:sectPr>
      <w:footnotePr>
        <w:pos w:val="pageBottom"/>
        <w:numFmt w:val="decimal"/>
        <w:numRestart w:val="continuous"/>
      </w:footnotePr>
      <w:pgSz w:w="11900" w:h="16840"/>
      <w:pgMar w:top="994" w:right="457" w:bottom="1212" w:left="1579" w:header="566" w:footer="78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20" w:line="25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  <w:spacing w:after="120" w:line="25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701_Shendrikova</dc:creator>
  <cp:keywords/>
</cp:coreProperties>
</file>