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Уважаемые плательщики!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60" w:right="0" w:firstLine="620"/>
        <w:jc w:val="left"/>
      </w:pPr>
      <w:r>
        <w:rPr>
          <w:color w:val="000000"/>
          <w:spacing w:val="0"/>
          <w:w w:val="100"/>
          <w:position w:val="0"/>
        </w:rPr>
        <w:t xml:space="preserve">Министерство по налогам и сборам напоминает, что </w:t>
      </w:r>
      <w:r>
        <w:rPr>
          <w:b/>
          <w:bCs/>
          <w:color w:val="000000"/>
          <w:spacing w:val="0"/>
          <w:w w:val="100"/>
          <w:position w:val="0"/>
        </w:rPr>
        <w:t xml:space="preserve">с 1 июля 2025 года </w:t>
      </w:r>
      <w:r>
        <w:rPr>
          <w:color w:val="000000"/>
          <w:spacing w:val="0"/>
          <w:w w:val="100"/>
          <w:position w:val="0"/>
        </w:rPr>
        <w:t xml:space="preserve">вступают в силу </w:t>
      </w:r>
      <w:r>
        <w:rPr>
          <w:b/>
          <w:bCs/>
          <w:color w:val="000000"/>
          <w:spacing w:val="0"/>
          <w:w w:val="100"/>
          <w:position w:val="0"/>
        </w:rPr>
        <w:t xml:space="preserve">изменения </w:t>
      </w:r>
      <w:r>
        <w:rPr>
          <w:color w:val="000000"/>
          <w:spacing w:val="0"/>
          <w:w w:val="100"/>
          <w:position w:val="0"/>
        </w:rPr>
        <w:t xml:space="preserve">в части использования кассового и иного оборудования при приеме средств платежа, </w:t>
      </w:r>
      <w:r>
        <w:rPr>
          <w:b/>
          <w:bCs/>
          <w:color w:val="000000"/>
          <w:spacing w:val="0"/>
          <w:w w:val="100"/>
          <w:position w:val="0"/>
        </w:rPr>
        <w:t>а именно: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160" w:right="0" w:firstLine="620"/>
        <w:jc w:val="both"/>
      </w:pPr>
      <w:r>
        <w:rPr>
          <w:color w:val="000000"/>
          <w:spacing w:val="0"/>
          <w:w w:val="100"/>
          <w:position w:val="0"/>
        </w:rPr>
        <w:t xml:space="preserve">У об использовании кассового оборудования, соответствующего </w:t>
      </w:r>
      <w:r>
        <w:rPr>
          <w:b/>
          <w:bCs/>
          <w:color w:val="000000"/>
          <w:spacing w:val="0"/>
          <w:w w:val="100"/>
          <w:position w:val="0"/>
        </w:rPr>
        <w:t xml:space="preserve">новым требованиям </w:t>
      </w:r>
      <w:r>
        <w:rPr>
          <w:color w:val="000000"/>
          <w:spacing w:val="0"/>
          <w:w w:val="100"/>
          <w:position w:val="0"/>
        </w:rPr>
        <w:t>законодательства;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60" w:right="0" w:firstLine="620"/>
        <w:jc w:val="both"/>
      </w:pPr>
      <w:r>
        <w:rPr>
          <w:i/>
          <w:iCs/>
          <w:color w:val="000000"/>
          <w:spacing w:val="0"/>
          <w:w w:val="100"/>
          <w:position w:val="0"/>
        </w:rPr>
        <w:t>У</w:t>
      </w:r>
      <w:r>
        <w:rPr>
          <w:color w:val="000000"/>
          <w:spacing w:val="0"/>
          <w:w w:val="100"/>
          <w:position w:val="0"/>
        </w:rPr>
        <w:t xml:space="preserve"> о подключении кассового оборудования, которое </w:t>
      </w:r>
      <w:r>
        <w:rPr>
          <w:b/>
          <w:bCs/>
          <w:color w:val="000000"/>
          <w:spacing w:val="0"/>
          <w:w w:val="100"/>
          <w:position w:val="0"/>
        </w:rPr>
        <w:t xml:space="preserve">обеспечивает учет </w:t>
      </w:r>
      <w:r>
        <w:rPr>
          <w:color w:val="000000"/>
          <w:spacing w:val="0"/>
          <w:w w:val="100"/>
          <w:position w:val="0"/>
        </w:rPr>
        <w:t xml:space="preserve">необходимой информации и ее </w:t>
      </w:r>
      <w:r>
        <w:rPr>
          <w:b/>
          <w:bCs/>
          <w:color w:val="000000"/>
          <w:spacing w:val="0"/>
          <w:w w:val="100"/>
          <w:position w:val="0"/>
        </w:rPr>
        <w:t xml:space="preserve">передачу </w:t>
      </w:r>
      <w:r>
        <w:rPr>
          <w:color w:val="000000"/>
          <w:spacing w:val="0"/>
          <w:w w:val="100"/>
          <w:position w:val="0"/>
        </w:rPr>
        <w:t>в систему контроля кассового оборудования;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60" w:right="0" w:firstLine="620"/>
        <w:jc w:val="both"/>
      </w:pPr>
      <w:r>
        <w:rPr>
          <w:color w:val="000000"/>
          <w:spacing w:val="0"/>
          <w:w w:val="100"/>
          <w:position w:val="0"/>
        </w:rPr>
        <w:t xml:space="preserve">У о расширении перечня случаев, в которых субъекты хозяйствования </w:t>
      </w:r>
      <w:r>
        <w:rPr>
          <w:b/>
          <w:bCs/>
          <w:color w:val="000000"/>
          <w:spacing w:val="0"/>
          <w:w w:val="100"/>
          <w:position w:val="0"/>
        </w:rPr>
        <w:t xml:space="preserve">обязаны </w:t>
      </w:r>
      <w:r>
        <w:rPr>
          <w:color w:val="000000"/>
          <w:spacing w:val="0"/>
          <w:w w:val="100"/>
          <w:position w:val="0"/>
        </w:rPr>
        <w:t>использовать кассовое оборудование;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 xml:space="preserve">У о расширении перечня объектов (видов деятельности), в которых (при осуществлении которых) субъектам хозяйствования </w:t>
      </w:r>
      <w:r>
        <w:rPr>
          <w:b/>
          <w:bCs/>
          <w:color w:val="000000"/>
          <w:spacing w:val="0"/>
          <w:w w:val="100"/>
          <w:position w:val="0"/>
        </w:rPr>
        <w:t xml:space="preserve">необходимо </w:t>
      </w:r>
      <w:r>
        <w:rPr>
          <w:color w:val="000000"/>
          <w:spacing w:val="0"/>
          <w:w w:val="100"/>
          <w:position w:val="0"/>
        </w:rPr>
        <w:t>использовать платежные терминалы.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С </w:t>
      </w:r>
      <w:r>
        <w:rPr>
          <w:i/>
          <w:iCs/>
          <w:color w:val="000000"/>
          <w:spacing w:val="0"/>
          <w:w w:val="100"/>
          <w:position w:val="0"/>
        </w:rPr>
        <w:t xml:space="preserve">более подробной информацией </w:t>
      </w:r>
      <w:r>
        <w:rPr>
          <w:b/>
          <w:bCs/>
          <w:i/>
          <w:iCs/>
          <w:color w:val="000000"/>
          <w:spacing w:val="0"/>
          <w:w w:val="100"/>
          <w:position w:val="0"/>
          <w:sz w:val="26"/>
          <w:szCs w:val="26"/>
        </w:rPr>
        <w:t>об изменениях с 01 июля 2025 года</w:t>
        <w:br/>
      </w:r>
      <w:r>
        <w:rPr>
          <w:i/>
          <w:iCs/>
          <w:color w:val="000000"/>
          <w:spacing w:val="0"/>
          <w:w w:val="100"/>
          <w:position w:val="0"/>
        </w:rPr>
        <w:t>в использовании кассового и иного оборудования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при приеме средств платежа в открытом (бесплатном) доступе можно</w:t>
        <w:br/>
        <w:t xml:space="preserve">ознакомиться в сетевом издании </w:t>
      </w:r>
      <w:r>
        <w:rPr>
          <w:b/>
          <w:bCs/>
          <w:i/>
          <w:iCs/>
          <w:color w:val="000000"/>
          <w:spacing w:val="0"/>
          <w:w w:val="100"/>
          <w:position w:val="0"/>
          <w:sz w:val="26"/>
          <w:szCs w:val="26"/>
        </w:rPr>
        <w:t>«padatak.by»,</w:t>
        <w:br/>
      </w:r>
      <w:r>
        <w:rPr>
          <w:i/>
          <w:iCs/>
          <w:color w:val="000000"/>
          <w:spacing w:val="0"/>
          <w:w w:val="100"/>
          <w:position w:val="0"/>
        </w:rPr>
        <w:t>учредителем которого является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389" w:lineRule="auto"/>
        <w:ind w:left="0" w:right="0" w:firstLine="0"/>
        <w:jc w:val="center"/>
        <w:rPr>
          <w:sz w:val="26"/>
          <w:szCs w:val="26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6"/>
          <w:szCs w:val="26"/>
        </w:rPr>
        <w:t>Министерство по налогам и сборам Республики Беларусь.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145665" cy="190182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45665" cy="19018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30"/>
          <w:szCs w:val="30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30"/>
          <w:szCs w:val="30"/>
        </w:rPr>
        <w:t>ЖИВИТЕ МУДРО! ТРУДИТЕСЬ ЧЕСТНО!</w:t>
      </w:r>
    </w:p>
    <w:sectPr>
      <w:footnotePr>
        <w:pos w:val="pageBottom"/>
        <w:numFmt w:val="decimal"/>
        <w:numRestart w:val="continuous"/>
      </w:footnotePr>
      <w:pgSz w:w="11900" w:h="16840"/>
      <w:pgMar w:top="1129" w:right="538" w:bottom="1129" w:left="1349" w:header="701" w:footer="70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8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