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666" w:h="422" w:wrap="none" w:hAnchor="page" w:x="1423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Приложение</w:t>
      </w: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headerReference w:type="default" r:id="rId5"/>
          <w:headerReference w:type="first" r:id="rId6"/>
          <w:footnotePr>
            <w:pos w:val="pageBottom"/>
            <w:numFmt w:val="decimal"/>
            <w:numRestart w:val="continuous"/>
          </w:footnotePr>
          <w:pgSz w:w="16840" w:h="11900" w:orient="landscape"/>
          <w:pgMar w:top="1188" w:right="942" w:bottom="850" w:left="1105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Алгоритм действий индивидуального предпринимателя при переходе в статус коммерческой организации в соответствии с Положением о создании индивидуальным предпринимателем коммерческой организации, учреждаемой одним лицом (приложение к Закону Республики Беларусь от 22.04.2024 № 365-З «Об изменении законов по вопросам предпринимательской деятельности»)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ПЕРЕЧЕНЬ ЗАДАЧ</w:t>
      </w:r>
      <w:bookmarkEnd w:id="0"/>
      <w:bookmarkEnd w:id="1"/>
      <w:bookmarkEnd w:id="2"/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6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и описания необходимых для их реализации шагов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14686" w:val="left"/>
        </w:tabs>
        <w:bidi w:val="0"/>
        <w:spacing w:before="0" w:after="0" w:line="226" w:lineRule="auto"/>
        <w:ind w:left="416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Передача неиспользованных ИП унифицированных контрольных знаков, сгенерированных кодов маркировки, защищенных материальных носителей, защищенных материальных носителей с нанесенными средствами идентификации, </w:t>
      </w:r>
      <w:r>
        <w:rPr>
          <w:b/>
          <w:bCs/>
          <w:color w:val="000000"/>
          <w:spacing w:val="0"/>
          <w:w w:val="100"/>
          <w:position w:val="0"/>
          <w:u w:val="single"/>
        </w:rPr>
        <w:t>знаков защиты</w:t>
      </w:r>
      <w:r>
        <w:rPr>
          <w:b/>
          <w:bCs/>
          <w:color w:val="000000"/>
          <w:spacing w:val="0"/>
          <w:w w:val="100"/>
          <w:position w:val="0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620" w:right="0" w:firstLine="0"/>
        <w:jc w:val="right"/>
      </w:pPr>
      <w:r>
        <w:rPr>
          <w:color w:val="000000"/>
          <w:spacing w:val="0"/>
          <w:w w:val="100"/>
          <w:position w:val="0"/>
        </w:rPr>
        <w:t>(наименование задачи, наименование госоргана (организации), предоставившего информацию)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192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4304030</wp:posOffset>
                </wp:positionH>
                <wp:positionV relativeFrom="paragraph">
                  <wp:posOffset>25400</wp:posOffset>
                </wp:positionV>
                <wp:extent cx="1182370" cy="24066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2370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Описание шага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8.90000000000003pt;margin-top:2.pt;width:93.100000000000009pt;height:18.9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Описание шага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</w:rPr>
        <w:t>Время</w:t>
        <w:br/>
        <w:t>(календарных дней)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192" w:lineRule="auto"/>
        <w:ind w:left="1220" w:right="0" w:hanging="980"/>
        <w:jc w:val="both"/>
      </w:pPr>
      <w:r>
        <w:rPr>
          <w:color w:val="000000"/>
          <w:spacing w:val="0"/>
          <w:w w:val="100"/>
          <w:position w:val="0"/>
        </w:rPr>
        <w:t xml:space="preserve">Шаг 1 </w:t>
      </w:r>
      <w:r>
        <w:rPr>
          <w:spacing w:val="0"/>
          <w:w w:val="100"/>
          <w:position w:val="0"/>
        </w:rPr>
        <w:t>В случае принятия решения об использовании созданной коммерческой организацией остатков неиспользованных унифицированных контрольных знаков, защищенных материальных носителей, защищенных материальных носителей с нанесенными средствами идентификации, знаков защиты и (или) общего количества сгенерированных кодов маркировки (далее, если не указано иное, - знаки) провести инвентаризацию образовавшихся остатков неиспользованных знаков для указания в передаточном акте, предусмотренном пунктом 10 Положения о создании индивидуальным предпринимателем коммерческой организации, учреждаемой одним лицом (приложение к Закону Республики Беларусь от 22.04.2024 № 365-З) (далее - Положение, передаточный акт),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192" w:lineRule="auto"/>
        <w:ind w:left="1220" w:right="0" w:hanging="980"/>
        <w:jc w:val="both"/>
      </w:pPr>
      <w:r>
        <mc:AlternateContent>
          <mc:Choice Requires="wps">
            <w:drawing>
              <wp:anchor distT="0" distB="0" distL="139700" distR="139700" simplePos="0" relativeHeight="125829380" behindDoc="0" locked="0" layoutInCell="1" allowOverlap="1">
                <wp:simplePos x="0" y="0"/>
                <wp:positionH relativeFrom="page">
                  <wp:posOffset>8474075</wp:posOffset>
                </wp:positionH>
                <wp:positionV relativeFrom="margin">
                  <wp:posOffset>3260725</wp:posOffset>
                </wp:positionV>
                <wp:extent cx="1508760" cy="259715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08760" cy="25971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2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До даты составления</w:t>
                              <w:br/>
                              <w:t>передаточного акта</w:t>
                              <w:br/>
                              <w:t>(при принятии</w:t>
                              <w:br/>
                              <w:t>решения об</w:t>
                              <w:br/>
                              <w:t>использовании</w:t>
                              <w:br/>
                              <w:t>созданной</w:t>
                              <w:br/>
                              <w:t>коммерческой</w:t>
                              <w:br/>
                              <w:t>организацией</w:t>
                              <w:br/>
                              <w:t>остатков знаков)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2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До даты составления</w:t>
                              <w:br/>
                              <w:t>передаточного акта</w:t>
                              <w:br/>
                              <w:t>(при принятии</w:t>
                              <w:br/>
                              <w:t>решения об</w:t>
                              <w:br/>
                              <w:t>использовании</w:t>
                              <w:br/>
                              <w:t>созданной</w:t>
                              <w:br/>
                              <w:t>коммерческой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67.25pt;margin-top:256.75pt;width:118.8pt;height:204.5pt;z-index:-125829373;mso-wrap-distance-left:11.pt;mso-wrap-distance-right:11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До даты составления</w:t>
                        <w:br/>
                        <w:t>передаточного акта</w:t>
                        <w:br/>
                        <w:t>(при принятии</w:t>
                        <w:br/>
                        <w:t>решения об</w:t>
                        <w:br/>
                        <w:t>использовании</w:t>
                        <w:br/>
                        <w:t>созданной</w:t>
                        <w:br/>
                        <w:t>коммерческой</w:t>
                        <w:br/>
                        <w:t>организацией</w:t>
                        <w:br/>
                        <w:t>остатков знаков)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До даты составления</w:t>
                        <w:br/>
                        <w:t>передаточного акта</w:t>
                        <w:br/>
                        <w:t>(при принятии</w:t>
                        <w:br/>
                        <w:t>решения об</w:t>
                        <w:br/>
                        <w:t>использовании</w:t>
                        <w:br/>
                        <w:t>созданной</w:t>
                        <w:br/>
                        <w:t>коммерческой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 xml:space="preserve">Шаг 2 </w:t>
      </w:r>
      <w:r>
        <w:rPr>
          <w:spacing w:val="0"/>
          <w:w w:val="100"/>
          <w:position w:val="0"/>
        </w:rPr>
        <w:t>Указать в передаточном акте общее количество, серии, номера неиспользованных унифицированных контрольных знаков, защищенных материальных носителей, защищенных материальных носителей с нанесенными средствами идентификации, знаков защиты и (или) общего количества сгенерированных кодов маркировки, передаваемые созданной коммерческой организации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194" w:lineRule="auto"/>
        <w:ind w:left="0" w:right="0" w:firstLine="0"/>
        <w:jc w:val="both"/>
      </w:pPr>
      <w:r>
        <mc:AlternateContent>
          <mc:Choice Requires="wps">
            <w:drawing>
              <wp:anchor distT="152400" distB="1447800" distL="152400" distR="152400" simplePos="0" relativeHeight="125829382" behindDoc="0" locked="0" layoutInCell="1" allowOverlap="1">
                <wp:simplePos x="0" y="0"/>
                <wp:positionH relativeFrom="page">
                  <wp:posOffset>838835</wp:posOffset>
                </wp:positionH>
                <wp:positionV relativeFrom="margin">
                  <wp:posOffset>262255</wp:posOffset>
                </wp:positionV>
                <wp:extent cx="457200" cy="23177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720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Шаг 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6.049999999999997pt;margin-top:20.650000000000002pt;width:36.pt;height:18.25pt;z-index:-125829371;mso-wrap-distance-left:12.pt;mso-wrap-distance-top:12.pt;mso-wrap-distance-right:12.pt;mso-wrap-distance-bottom:114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Шаг 3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447800" distB="152400" distL="152400" distR="152400" simplePos="0" relativeHeight="125829384" behindDoc="0" locked="0" layoutInCell="1" allowOverlap="1">
                <wp:simplePos x="0" y="0"/>
                <wp:positionH relativeFrom="page">
                  <wp:posOffset>838835</wp:posOffset>
                </wp:positionH>
                <wp:positionV relativeFrom="margin">
                  <wp:posOffset>1557655</wp:posOffset>
                </wp:positionV>
                <wp:extent cx="457200" cy="23177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720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Шаг 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6.049999999999997pt;margin-top:122.65000000000001pt;width:36.pt;height:18.25pt;z-index:-125829369;mso-wrap-distance-left:12.pt;mso-wrap-distance-top:114.pt;mso-wrap-distance-right:12.pt;mso-wrap-distance-bottom:12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Шаг 4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 xml:space="preserve">Созданная коммерческая организация регистрируется в ГИС «Электронный знак» </w:t>
      </w:r>
      <w:r>
        <w:rPr>
          <w:spacing w:val="0"/>
          <w:w w:val="100"/>
          <w:position w:val="0"/>
        </w:rPr>
        <w:t xml:space="preserve">(порядок регистрации установлен подпунктом 6.3 пункта 6 Регламента функционирования государственной информационной системы маркировки товаров унифицированными контрольными знаками или средствами идентификации ГИС «Электронный знак» (размещен по адресу </w:t>
      </w:r>
      <w:r>
        <w:fldChar w:fldCharType="begin"/>
      </w:r>
      <w:r>
        <w:rPr/>
        <w:instrText> HYPERLINK "https://datamark.by/wp-content/uploads/reglament-funkczionirovaniya-gis-elektronnyj-znak.pdf" 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</w:rPr>
        <w:t>https://datamark.by/wp-content/uploads/reglament-funkczionirovaniya-gis-elektronnyj-</w:t>
      </w:r>
      <w:r>
        <w:fldChar w:fldCharType="end"/>
      </w:r>
      <w:r>
        <w:rPr>
          <w:color w:val="0563C1"/>
          <w:spacing w:val="0"/>
          <w:w w:val="100"/>
          <w:position w:val="0"/>
          <w:u w:val="single"/>
        </w:rPr>
        <w:t xml:space="preserve"> </w:t>
      </w:r>
      <w:r>
        <w:fldChar w:fldCharType="begin"/>
      </w:r>
      <w:r>
        <w:rPr/>
        <w:instrText> HYPERLINK "https://datamark.by/wp-content/uploads/reglament-funkczionirovaniya-gis-elektronnyj-znak.pdf" 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</w:rPr>
        <w:t>znak.pdf</w:t>
      </w:r>
      <w:r>
        <w:fldChar w:fldCharType="end"/>
      </w:r>
      <w:r>
        <w:rPr>
          <w:spacing w:val="0"/>
          <w:w w:val="100"/>
          <w:position w:val="0"/>
          <w:u w:val="single"/>
        </w:rPr>
        <w:t>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625" w:right="1014" w:bottom="1529" w:left="110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14300" distB="114300" distL="114300" distR="114300" simplePos="0" relativeHeight="125829386" behindDoc="0" locked="0" layoutInCell="1" allowOverlap="1">
                <wp:simplePos x="0" y="0"/>
                <wp:positionH relativeFrom="page">
                  <wp:posOffset>8452485</wp:posOffset>
                </wp:positionH>
                <wp:positionV relativeFrom="margin">
                  <wp:posOffset>-271145</wp:posOffset>
                </wp:positionV>
                <wp:extent cx="1551305" cy="3127375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1305" cy="31273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60" w:line="192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организацией</w:t>
                              <w:br/>
                              <w:t>остатков знаков)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2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До начала оборота</w:t>
                              <w:br/>
                              <w:t>знаков, но не позднее</w:t>
                              <w:br/>
                              <w:t>одного месяца с даты</w:t>
                              <w:br/>
                              <w:t>государственной</w:t>
                              <w:br/>
                              <w:t>регистрации этой</w:t>
                              <w:br/>
                              <w:t>коммерческой</w:t>
                              <w:br/>
                              <w:t>организации (пункт</w:t>
                              <w:br/>
                              <w:t>12 Положения)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192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До начала оборота</w:t>
                              <w:br/>
                              <w:t>знаков, но не позднее</w:t>
                              <w:br/>
                              <w:t>одного месяца с даты</w:t>
                              <w:br/>
                              <w:t>государственной</w:t>
                              <w:br/>
                              <w:t>регистрации этой</w:t>
                              <w:br/>
                              <w:t>коммерческой</w:t>
                              <w:br/>
                              <w:t>организации (пункт</w:t>
                              <w:br/>
                              <w:t>12 Положения)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65.55000000000007pt;margin-top:-21.350000000000001pt;width:122.15000000000001pt;height:246.25pt;z-index:-125829367;mso-wrap-distance-left:9.pt;mso-wrap-distance-top:9.pt;mso-wrap-distance-right:9.pt;mso-wrap-distance-bottom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192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организацией</w:t>
                        <w:br/>
                        <w:t>остатков знаков)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До начала оборота</w:t>
                        <w:br/>
                        <w:t>знаков, но не позднее</w:t>
                        <w:br/>
                        <w:t>одного месяца с даты</w:t>
                        <w:br/>
                        <w:t>государственной</w:t>
                        <w:br/>
                        <w:t>регистрации этой</w:t>
                        <w:br/>
                        <w:t>коммерческой</w:t>
                        <w:br/>
                        <w:t>организации (пункт</w:t>
                        <w:br/>
                        <w:t>12 Положения)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192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До начала оборота</w:t>
                        <w:br/>
                        <w:t>знаков, но не позднее</w:t>
                        <w:br/>
                        <w:t>одного месяца с даты</w:t>
                        <w:br/>
                        <w:t>государственной</w:t>
                        <w:br/>
                        <w:t>регистрации этой</w:t>
                        <w:br/>
                        <w:t>коммерческой</w:t>
                        <w:br/>
                        <w:t>организации (пункт</w:t>
                        <w:br/>
                        <w:t>12 Положения)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</w:rPr>
        <w:t>Созданная коммерческая организация передает в ГИС «Электронный знак» дату и номер передаточного акта, а также информацию из передаточного акта об общем количестве, сериях, номерах неиспользованных унифицированных контрольных знаков, защищенных материальных носителей, защищенных материальных носителей с нанесенными средствами идентификации, знаков защиты и (или) общем количестве неиспользованных сгенерированных кодов маркировки</w:t>
      </w: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068" w:right="1033" w:bottom="1068" w:left="13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720" w:h="370" w:wrap="none" w:vAnchor="text" w:hAnchor="page" w:x="1322" w:y="21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Шаг 1</w:t>
      </w:r>
    </w:p>
    <w:p>
      <w:pPr>
        <w:pStyle w:val="Style4"/>
        <w:keepNext w:val="0"/>
        <w:keepLines w:val="0"/>
        <w:framePr w:w="720" w:h="370" w:wrap="none" w:vAnchor="text" w:hAnchor="page" w:x="1322" w:y="43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Шаг 2</w:t>
      </w:r>
    </w:p>
    <w:p>
      <w:pPr>
        <w:pStyle w:val="Style4"/>
        <w:keepNext w:val="0"/>
        <w:keepLines w:val="0"/>
        <w:framePr w:w="720" w:h="370" w:wrap="none" w:vAnchor="text" w:hAnchor="page" w:x="1322" w:y="66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Шаг 3</w:t>
      </w:r>
    </w:p>
    <w:p>
      <w:pPr>
        <w:pStyle w:val="Style4"/>
        <w:keepNext w:val="0"/>
        <w:keepLines w:val="0"/>
        <w:framePr w:w="10555" w:h="1258" w:wrap="none" w:vAnchor="text" w:hAnchor="page" w:x="5253" w:y="21"/>
        <w:widowControl w:val="0"/>
        <w:pBdr>
          <w:bottom w:val="single" w:sz="4" w:space="0" w:color="auto"/>
        </w:pBdr>
        <w:shd w:val="clear" w:color="auto" w:fill="auto"/>
        <w:tabs>
          <w:tab w:leader="underscore" w:pos="10507" w:val="left"/>
        </w:tabs>
        <w:bidi w:val="0"/>
        <w:spacing w:before="0" w:after="0" w:line="223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Передача остатков неиспользованных ИП бланков документов с определенной степенью </w:t>
      </w:r>
      <w:r>
        <w:rPr>
          <w:b/>
          <w:bCs/>
          <w:color w:val="000000"/>
          <w:spacing w:val="0"/>
          <w:w w:val="100"/>
          <w:position w:val="0"/>
          <w:u w:val="single"/>
        </w:rPr>
        <w:t>защиты</w:t>
      </w:r>
      <w:r>
        <w:rPr>
          <w:b/>
          <w:bCs/>
          <w:color w:val="000000"/>
          <w:spacing w:val="0"/>
          <w:w w:val="100"/>
          <w:position w:val="0"/>
        </w:rPr>
        <w:tab/>
      </w:r>
    </w:p>
    <w:p>
      <w:pPr>
        <w:pStyle w:val="Style4"/>
        <w:keepNext w:val="0"/>
        <w:keepLines w:val="0"/>
        <w:framePr w:w="10555" w:h="1258" w:wrap="none" w:vAnchor="text" w:hAnchor="page" w:x="5253" w:y="21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right"/>
      </w:pPr>
      <w:r>
        <w:rPr>
          <w:color w:val="000000"/>
          <w:spacing w:val="0"/>
          <w:w w:val="100"/>
          <w:position w:val="0"/>
        </w:rPr>
        <w:t>(наименование задачи, наименование госоргана (организации), предоставившего информацию)</w:t>
      </w:r>
    </w:p>
    <w:p>
      <w:pPr>
        <w:pStyle w:val="Style4"/>
        <w:keepNext w:val="0"/>
        <w:keepLines w:val="0"/>
        <w:framePr w:w="1862" w:h="379" w:wrap="none" w:vAnchor="text" w:hAnchor="page" w:x="6635" w:y="13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Описание шага</w:t>
      </w:r>
    </w:p>
    <w:p>
      <w:pPr>
        <w:pStyle w:val="Style4"/>
        <w:keepNext w:val="0"/>
        <w:keepLines w:val="0"/>
        <w:framePr w:w="2405" w:h="619" w:wrap="none" w:vAnchor="text" w:hAnchor="page" w:x="13187" w:y="1263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Время</w:t>
        <w:br/>
        <w:t>(календарных дней)</w:t>
      </w:r>
    </w:p>
    <w:p>
      <w:pPr>
        <w:pStyle w:val="Style4"/>
        <w:keepNext w:val="0"/>
        <w:keepLines w:val="0"/>
        <w:framePr w:w="10507" w:h="1090" w:wrap="none" w:vAnchor="text" w:hAnchor="page" w:x="2315" w:y="2118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both"/>
      </w:pPr>
      <w:r>
        <w:rPr>
          <w:spacing w:val="0"/>
          <w:w w:val="100"/>
          <w:position w:val="0"/>
        </w:rPr>
        <w:t>В случае принятия решения об использовании созданной коммерческой организацией остатков неиспользованных бланков документов с определенной степенью защиты (далее - бланки) провести инвентаризацию остатков бланков для указания в передаточном акте, предусмотренном пунктом 10 Положения</w:t>
      </w:r>
    </w:p>
    <w:p>
      <w:pPr>
        <w:pStyle w:val="Style4"/>
        <w:keepNext w:val="0"/>
        <w:keepLines w:val="0"/>
        <w:framePr w:w="10502" w:h="610" w:wrap="none" w:vAnchor="text" w:hAnchor="page" w:x="2311" w:y="4398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r>
        <w:rPr>
          <w:spacing w:val="0"/>
          <w:w w:val="100"/>
          <w:position w:val="0"/>
        </w:rPr>
        <w:t>Указать в передаточном акте типы, коды, серии, номера и количество бланков, передаваемые созданной коммерческой организации</w:t>
      </w:r>
    </w:p>
    <w:p>
      <w:pPr>
        <w:pStyle w:val="Style4"/>
        <w:keepNext w:val="0"/>
        <w:keepLines w:val="0"/>
        <w:framePr w:w="10517" w:h="850" w:wrap="none" w:vAnchor="text" w:hAnchor="page" w:x="2306" w:y="6678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r>
        <w:rPr>
          <w:spacing w:val="0"/>
          <w:w w:val="100"/>
          <w:position w:val="0"/>
        </w:rPr>
        <w:t>Созданная коммерческая организация передает в налоговый орган по месту постановки на учет уведомление в произвольной форме с указанием типов, кодов, серий, номеров и количества бланков, указанных в передаточном акте.</w:t>
      </w:r>
    </w:p>
    <w:p>
      <w:pPr>
        <w:pStyle w:val="Style4"/>
        <w:keepNext w:val="0"/>
        <w:keepLines w:val="0"/>
        <w:framePr w:w="2774" w:h="2050" w:wrap="none" w:vAnchor="text" w:hAnchor="page" w:x="13005" w:y="2118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center"/>
      </w:pPr>
      <w:r>
        <w:rPr>
          <w:spacing w:val="0"/>
          <w:w w:val="100"/>
          <w:position w:val="0"/>
        </w:rPr>
        <w:t>До даты составления</w:t>
        <w:br/>
        <w:t>передаточного акта (при</w:t>
        <w:br/>
        <w:t>принятии решения об</w:t>
        <w:br/>
        <w:t>использовании</w:t>
        <w:br/>
        <w:t>созданной</w:t>
        <w:br/>
        <w:t>коммерческой</w:t>
        <w:br/>
        <w:t>организацией остатков</w:t>
        <w:br/>
        <w:t>бланков)</w:t>
      </w:r>
    </w:p>
    <w:p>
      <w:pPr>
        <w:pStyle w:val="Style4"/>
        <w:keepNext w:val="0"/>
        <w:keepLines w:val="0"/>
        <w:framePr w:w="2688" w:h="2050" w:wrap="none" w:vAnchor="text" w:hAnchor="page" w:x="13048" w:y="4398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center"/>
      </w:pPr>
      <w:r>
        <w:rPr>
          <w:spacing w:val="0"/>
          <w:w w:val="100"/>
          <w:position w:val="0"/>
        </w:rPr>
        <w:t>До даты составления</w:t>
        <w:br/>
        <w:t>передаточного акта</w:t>
        <w:br/>
        <w:t>(при принятии решения</w:t>
        <w:br/>
        <w:t>об использовании</w:t>
        <w:br/>
        <w:t>созданной</w:t>
        <w:br/>
        <w:t>коммерческой</w:t>
        <w:br/>
        <w:t>организацией остатков</w:t>
        <w:br/>
        <w:t>бланков)</w:t>
      </w:r>
    </w:p>
    <w:p>
      <w:pPr>
        <w:pStyle w:val="Style4"/>
        <w:keepNext w:val="0"/>
        <w:keepLines w:val="0"/>
        <w:framePr w:w="2813" w:h="2530" w:wrap="none" w:vAnchor="text" w:hAnchor="page" w:x="12986" w:y="6678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Не позднее одного</w:t>
        <w:br/>
        <w:t>месяца с даты</w:t>
        <w:br/>
        <w:t>государственной</w:t>
        <w:br/>
        <w:t>регистрации этой</w:t>
        <w:br/>
        <w:t>коммерческой</w:t>
        <w:br/>
        <w:t>организации, но до</w:t>
        <w:br/>
        <w:t>начала использования</w:t>
        <w:br/>
        <w:t>такой организацией этих</w:t>
        <w:br/>
        <w:t>бланков (пункт 13</w:t>
        <w:br/>
        <w:t>Положения)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068" w:right="1033" w:bottom="1068" w:left="1321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14642" w:val="left"/>
        </w:tabs>
        <w:bidi w:val="0"/>
        <w:spacing w:before="0" w:after="0" w:line="240" w:lineRule="auto"/>
        <w:ind w:left="412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</w:rPr>
        <w:t xml:space="preserve">Переоформление прав использовать кассового оборудования, зарегистрированного в </w:t>
      </w:r>
      <w:r>
        <w:rPr>
          <w:b/>
          <w:bCs/>
          <w:color w:val="000000"/>
          <w:spacing w:val="0"/>
          <w:w w:val="100"/>
          <w:position w:val="0"/>
          <w:u w:val="single"/>
        </w:rPr>
        <w:t>системе контроля кассового оборудования</w:t>
      </w:r>
      <w:r>
        <w:rPr>
          <w:b/>
          <w:bCs/>
          <w:color w:val="000000"/>
          <w:spacing w:val="0"/>
          <w:w w:val="100"/>
          <w:position w:val="0"/>
        </w:rPr>
        <w:tab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5620" w:right="0" w:firstLine="0"/>
        <w:jc w:val="right"/>
      </w:pPr>
      <w:r>
        <w:rPr>
          <w:color w:val="000000"/>
          <w:spacing w:val="0"/>
          <w:w w:val="100"/>
          <w:position w:val="0"/>
        </w:rPr>
        <w:t>(наименование задачи, наименование госоргана (организации), предоставившего информацию)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675" w:right="1014" w:bottom="4259" w:left="1105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4304030</wp:posOffset>
                </wp:positionH>
                <wp:positionV relativeFrom="paragraph">
                  <wp:posOffset>38100</wp:posOffset>
                </wp:positionV>
                <wp:extent cx="1182370" cy="240665"/>
                <wp:wrapSquare wrapText="righ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2370" cy="2406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Описание шага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38.90000000000003pt;margin-top:3.pt;width:93.100000000000009pt;height:18.949999999999999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Описание шага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</w:rPr>
        <w:t>Время</w:t>
        <w:br/>
        <w:t>(календарных дней)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069" w:right="0" w:bottom="425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720" w:h="365" w:wrap="none" w:vAnchor="text" w:hAnchor="page" w:x="132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Шаг 1</w:t>
      </w:r>
    </w:p>
    <w:p>
      <w:pPr>
        <w:pStyle w:val="Style4"/>
        <w:keepNext w:val="0"/>
        <w:keepLines w:val="0"/>
        <w:framePr w:w="10795" w:h="845" w:wrap="none" w:vAnchor="text" w:hAnchor="page" w:x="2315" w:y="21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Созданная коммерческая организация заключает договор с РУП «Информационно-издательский центр по налогам и сборам» Публичный договор СККО </w:t>
      </w: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</w:rPr>
        <w:t>(</w:t>
      </w:r>
      <w:r>
        <w:rPr>
          <w:color w:val="000000"/>
          <w:spacing w:val="0"/>
          <w:w w:val="100"/>
          <w:position w:val="0"/>
        </w:rPr>
        <w:t xml:space="preserve">размещен на официальном сайте РУП «Информационно-издательский центр по налогам и сборам» </w:t>
      </w:r>
      <w:r>
        <w:rPr>
          <w:color w:val="000000"/>
          <w:spacing w:val="0"/>
          <w:w w:val="100"/>
          <w:position w:val="0"/>
        </w:rPr>
        <w:t>info-center.by)</w:t>
      </w:r>
    </w:p>
    <w:p>
      <w:pPr>
        <w:pStyle w:val="Style4"/>
        <w:keepNext w:val="0"/>
        <w:keepLines w:val="0"/>
        <w:framePr w:w="1661" w:h="1325" w:wrap="none" w:vAnchor="text" w:hAnchor="page" w:x="13269" w:y="21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Не позднее месяцев со регистрации коммерческой организации</w:t>
      </w:r>
    </w:p>
    <w:p>
      <w:pPr>
        <w:pStyle w:val="Style4"/>
        <w:keepNext w:val="0"/>
        <w:keepLines w:val="0"/>
        <w:framePr w:w="566" w:h="605" w:wrap="none" w:vAnchor="text" w:hAnchor="page" w:x="1523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двух</w:t>
      </w:r>
    </w:p>
    <w:p>
      <w:pPr>
        <w:pStyle w:val="Style4"/>
        <w:keepNext w:val="0"/>
        <w:keepLines w:val="0"/>
        <w:framePr w:w="566" w:h="605" w:wrap="none" w:vAnchor="text" w:hAnchor="page" w:x="15232" w:y="21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дня</w:t>
      </w:r>
    </w:p>
    <w:p>
      <w:pPr>
        <w:pStyle w:val="Style4"/>
        <w:keepNext w:val="0"/>
        <w:keepLines w:val="0"/>
        <w:framePr w:w="720" w:h="365" w:wrap="none" w:vAnchor="text" w:hAnchor="page" w:x="1322" w:y="13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Шаг 2</w:t>
      </w:r>
    </w:p>
    <w:p>
      <w:pPr>
        <w:pStyle w:val="Style4"/>
        <w:keepNext w:val="0"/>
        <w:keepLines w:val="0"/>
        <w:framePr w:w="10786" w:h="605" w:wrap="none" w:vAnchor="text" w:hAnchor="page" w:x="2315" w:y="1331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Созданная коммерческая организация подает заявку в РУП Информационно-издательский центр по налогам и сборам» на подключение кассового оборудования к СККО»</w:t>
      </w:r>
    </w:p>
    <w:p>
      <w:pPr>
        <w:pStyle w:val="Style4"/>
        <w:keepNext w:val="0"/>
        <w:keepLines w:val="0"/>
        <w:framePr w:w="1661" w:h="1325" w:wrap="none" w:vAnchor="text" w:hAnchor="page" w:x="13269" w:y="1331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Не позднее месяцев со регистрации коммерческой организации</w:t>
      </w:r>
    </w:p>
    <w:p>
      <w:pPr>
        <w:pStyle w:val="Style4"/>
        <w:keepNext w:val="0"/>
        <w:keepLines w:val="0"/>
        <w:framePr w:w="566" w:h="605" w:wrap="none" w:vAnchor="text" w:hAnchor="page" w:x="15232" w:y="13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двух</w:t>
      </w:r>
    </w:p>
    <w:p>
      <w:pPr>
        <w:pStyle w:val="Style4"/>
        <w:keepNext w:val="0"/>
        <w:keepLines w:val="0"/>
        <w:framePr w:w="566" w:h="605" w:wrap="none" w:vAnchor="text" w:hAnchor="page" w:x="15232" w:y="1331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дня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069" w:right="1014" w:bottom="4259" w:left="110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09" w:lineRule="exact"/>
        <w:rPr>
          <w:sz w:val="17"/>
          <w:szCs w:val="17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1675" w:right="0" w:bottom="167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1600" distR="101600" simplePos="0" relativeHeight="125829390" behindDoc="0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12700</wp:posOffset>
                </wp:positionV>
                <wp:extent cx="457200" cy="231775"/>
                <wp:wrapSquare wrapText="bothSides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7200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Шаг 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6.049999999999997pt;margin-top:1.pt;width:36.pt;height:18.25pt;z-index:-125829363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Шаг 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92" behindDoc="0" locked="0" layoutInCell="1" allowOverlap="1">
                <wp:simplePos x="0" y="0"/>
                <wp:positionH relativeFrom="page">
                  <wp:posOffset>8428355</wp:posOffset>
                </wp:positionH>
                <wp:positionV relativeFrom="paragraph">
                  <wp:posOffset>12700</wp:posOffset>
                </wp:positionV>
                <wp:extent cx="1532890" cy="384175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2890" cy="384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Непосредственно после оказания услуг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63.64999999999998pt;margin-top:1.pt;width:120.7pt;height:30.25pt;z-index:-1258293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Непосредственно после оказания услуг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Созданная коммерческая организация </w:t>
      </w:r>
      <w:r>
        <w:rPr>
          <w:spacing w:val="0"/>
          <w:w w:val="100"/>
          <w:position w:val="0"/>
        </w:rPr>
        <w:t>подписывает с РУП «Информационно-издательский центр по налогам и сборам» Акт сдачи-приемки оказанных услуг</w:t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1675" w:right="3567" w:bottom="1675" w:left="231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5304155</wp:posOffset>
              </wp:positionH>
              <wp:positionV relativeFrom="page">
                <wp:posOffset>492760</wp:posOffset>
              </wp:positionV>
              <wp:extent cx="76200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65000000000003pt;margin-top:38.800000000000004pt;width:6.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z w:val="26"/>
      <w:szCs w:val="26"/>
      <w:u w:val="none"/>
      <w:shd w:val="clear" w:color="auto" w:fill="auto"/>
    </w:rPr>
  </w:style>
  <w:style w:type="character" w:customStyle="1" w:styleId="CharStyle9">
    <w:name w:val="Заголовок №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CharStyle14">
    <w:name w:val="Колонтитул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40" w:line="19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42424"/>
      <w:sz w:val="26"/>
      <w:szCs w:val="26"/>
      <w:u w:val="none"/>
      <w:shd w:val="clear" w:color="auto" w:fill="auto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auto"/>
      <w:spacing w:after="130" w:line="194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13">
    <w:name w:val="Колонтитул (2)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Балакер Елена Георгиевна</dc:creator>
  <cp:keywords/>
</cp:coreProperties>
</file>